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755B0C" w:rsidRDefault="00BB30D4">
      <w:pPr>
        <w:rPr>
          <w:b/>
          <w:sz w:val="10"/>
          <w:szCs w:val="10"/>
        </w:rPr>
      </w:pPr>
    </w:p>
    <w:p w14:paraId="60514491" w14:textId="508D0646" w:rsidR="00B5448D" w:rsidRDefault="00FF6156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A.S</w:t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: </w:t>
      </w:r>
      <w:r>
        <w:rPr>
          <w:rFonts w:ascii="Arial Narrow" w:hAnsi="Arial Narrow"/>
          <w:b/>
          <w:sz w:val="28"/>
          <w:szCs w:val="28"/>
          <w:u w:val="single"/>
        </w:rPr>
        <w:t>Criminal Justice Program</w:t>
      </w:r>
      <w:r w:rsidR="00823A20"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 B.A</w:t>
      </w:r>
      <w:r w:rsidR="0015273C">
        <w:rPr>
          <w:rFonts w:ascii="Arial Narrow" w:hAnsi="Arial Narrow"/>
          <w:b/>
          <w:sz w:val="28"/>
          <w:szCs w:val="28"/>
          <w:u w:val="single"/>
        </w:rPr>
        <w:t>.</w:t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 Sociology: </w:t>
      </w:r>
      <w:r>
        <w:rPr>
          <w:rFonts w:ascii="Arial Narrow" w:hAnsi="Arial Narrow"/>
          <w:b/>
          <w:sz w:val="28"/>
          <w:szCs w:val="28"/>
          <w:u w:val="single"/>
        </w:rPr>
        <w:t xml:space="preserve">Criminology </w:t>
      </w:r>
      <w:r w:rsidR="000D5EDA">
        <w:rPr>
          <w:rFonts w:ascii="Arial Narrow" w:hAnsi="Arial Narrow"/>
          <w:b/>
          <w:sz w:val="28"/>
          <w:szCs w:val="28"/>
          <w:u w:val="single"/>
        </w:rPr>
        <w:t>Concentration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E41269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E41269">
        <w:trPr>
          <w:trHeight w:val="305"/>
          <w:jc w:val="center"/>
        </w:trPr>
        <w:tc>
          <w:tcPr>
            <w:tcW w:w="4121" w:type="dxa"/>
          </w:tcPr>
          <w:p w14:paraId="4B4C4013" w14:textId="476DC4FE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5E53D2A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E41269">
        <w:trPr>
          <w:trHeight w:val="272"/>
          <w:jc w:val="center"/>
        </w:trPr>
        <w:tc>
          <w:tcPr>
            <w:tcW w:w="4121" w:type="dxa"/>
          </w:tcPr>
          <w:p w14:paraId="5BAE7AE3" w14:textId="1C226A0A" w:rsidR="00B76C16" w:rsidRPr="00693D24" w:rsidRDefault="0020260E" w:rsidP="002026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PSY 101: Introduction to Psychology  </w:t>
            </w:r>
          </w:p>
        </w:tc>
        <w:tc>
          <w:tcPr>
            <w:tcW w:w="830" w:type="dxa"/>
            <w:vAlign w:val="center"/>
          </w:tcPr>
          <w:p w14:paraId="4FAD45E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73120143" w:rsidR="00B76C16" w:rsidRPr="00693D24" w:rsidRDefault="0020260E" w:rsidP="0020260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103: Introduction to Sociology</w:t>
            </w:r>
          </w:p>
        </w:tc>
        <w:tc>
          <w:tcPr>
            <w:tcW w:w="830" w:type="dxa"/>
            <w:vAlign w:val="center"/>
          </w:tcPr>
          <w:p w14:paraId="60705785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0D5EDA">
        <w:trPr>
          <w:trHeight w:val="314"/>
          <w:jc w:val="center"/>
        </w:trPr>
        <w:tc>
          <w:tcPr>
            <w:tcW w:w="4121" w:type="dxa"/>
          </w:tcPr>
          <w:p w14:paraId="62DA4C58" w14:textId="7EA3BAF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COM 143: Speech/ COM 105: Interpersonal Communication </w:t>
            </w:r>
          </w:p>
        </w:tc>
        <w:tc>
          <w:tcPr>
            <w:tcW w:w="830" w:type="dxa"/>
            <w:vAlign w:val="center"/>
          </w:tcPr>
          <w:p w14:paraId="6BAFBFA8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D7D43C1" w14:textId="2AD8CFFA" w:rsidR="00B76C16" w:rsidRPr="00693D24" w:rsidRDefault="0020260E" w:rsidP="000D5E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150: Elements of Statistics </w:t>
            </w:r>
          </w:p>
        </w:tc>
        <w:tc>
          <w:tcPr>
            <w:tcW w:w="830" w:type="dxa"/>
            <w:vAlign w:val="center"/>
          </w:tcPr>
          <w:p w14:paraId="799D2677" w14:textId="77777777" w:rsidR="00B76C16" w:rsidRPr="00693D24" w:rsidRDefault="00B76C16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0D5EDA">
        <w:trPr>
          <w:trHeight w:val="305"/>
          <w:jc w:val="center"/>
        </w:trPr>
        <w:tc>
          <w:tcPr>
            <w:tcW w:w="4121" w:type="dxa"/>
          </w:tcPr>
          <w:p w14:paraId="4164E9C5" w14:textId="3F2C8AE2" w:rsidR="00B76C16" w:rsidRPr="00693D24" w:rsidRDefault="0020260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105: Introduction to Criminal Justice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5B569667" w:rsidR="00B76C16" w:rsidRDefault="0020260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120: Juvenile Delinquency </w:t>
            </w:r>
            <w:r w:rsidR="000D5E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1E445F74" w14:textId="77777777" w:rsidTr="00E41269">
        <w:trPr>
          <w:trHeight w:val="242"/>
          <w:jc w:val="center"/>
        </w:trPr>
        <w:tc>
          <w:tcPr>
            <w:tcW w:w="4121" w:type="dxa"/>
          </w:tcPr>
          <w:p w14:paraId="5349BDA5" w14:textId="45C565B7" w:rsidR="00B76C16" w:rsidRDefault="0020260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113: American History I</w:t>
            </w:r>
          </w:p>
        </w:tc>
        <w:tc>
          <w:tcPr>
            <w:tcW w:w="830" w:type="dxa"/>
          </w:tcPr>
          <w:p w14:paraId="4EFD4BC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6507C7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8C3A80A" w14:textId="1E04C454" w:rsidR="00B76C16" w:rsidRDefault="0020260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HIS 114: American History II</w:t>
            </w:r>
          </w:p>
        </w:tc>
        <w:tc>
          <w:tcPr>
            <w:tcW w:w="830" w:type="dxa"/>
          </w:tcPr>
          <w:p w14:paraId="4512540F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B2FA7C7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E41269">
        <w:trPr>
          <w:trHeight w:val="287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1E34743B" w14:textId="2EE58540" w:rsidR="00B76C16" w:rsidRDefault="00931FA1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SCI 100: Lab Science Elective </w:t>
            </w:r>
          </w:p>
        </w:tc>
        <w:tc>
          <w:tcPr>
            <w:tcW w:w="830" w:type="dxa"/>
            <w:shd w:val="clear" w:color="auto" w:fill="FFFFFF"/>
          </w:tcPr>
          <w:p w14:paraId="5D5BC84F" w14:textId="46164D07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7DFBDE8E" w:rsidR="00B76C16" w:rsidRPr="0072231A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180: Corrections in Today’s Society </w:t>
            </w:r>
          </w:p>
        </w:tc>
        <w:tc>
          <w:tcPr>
            <w:tcW w:w="830" w:type="dxa"/>
            <w:shd w:val="clear" w:color="auto" w:fill="FFFFFF"/>
          </w:tcPr>
          <w:p w14:paraId="3DB6E2E4" w14:textId="1BED954D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FF6156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4F6BE15C" w14:textId="70B204AC" w:rsidR="00B76C16" w:rsidRPr="00693D24" w:rsidRDefault="0020260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130: </w:t>
            </w:r>
            <w:r w:rsidR="00FF6156">
              <w:rPr>
                <w:rFonts w:ascii="Arial Narrow" w:hAnsi="Arial Narrow"/>
                <w:sz w:val="22"/>
                <w:szCs w:val="22"/>
              </w:rPr>
              <w:t xml:space="preserve">Criminal Law </w:t>
            </w:r>
            <w:r w:rsidR="00931FA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78B16A7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0BBC3C8C" w:rsidR="00B76C16" w:rsidRPr="00693D24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100: Criminal Justice Elective </w:t>
            </w:r>
          </w:p>
        </w:tc>
        <w:tc>
          <w:tcPr>
            <w:tcW w:w="830" w:type="dxa"/>
            <w:shd w:val="clear" w:color="auto" w:fill="FFFFFF"/>
          </w:tcPr>
          <w:p w14:paraId="00A1D03B" w14:textId="571911B6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2217F3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6A72ADFF" w14:textId="1A5531FC" w:rsidR="00B76C16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CRJ 160: Police &amp; the Community </w:t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07806A19" w:rsidR="00B76C16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F6156">
              <w:rPr>
                <w:rFonts w:ascii="Arial Narrow" w:hAnsi="Arial Narrow"/>
                <w:sz w:val="22"/>
                <w:szCs w:val="22"/>
              </w:rPr>
              <w:t>CRJ 100: Criminal Justice Elective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1EBB0236" w:rsidR="00B76C16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CSC 103: Introduction to Computing </w:t>
            </w:r>
          </w:p>
        </w:tc>
        <w:tc>
          <w:tcPr>
            <w:tcW w:w="830" w:type="dxa"/>
            <w:shd w:val="clear" w:color="auto" w:fill="FFFFFF"/>
          </w:tcPr>
          <w:p w14:paraId="6C330442" w14:textId="5A2155F2" w:rsidR="00B76C16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7283AB5A" w14:textId="28D1EC84" w:rsidR="00B76C16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 202: Contemporary Social Problems</w:t>
            </w:r>
          </w:p>
        </w:tc>
        <w:tc>
          <w:tcPr>
            <w:tcW w:w="830" w:type="dxa"/>
            <w:shd w:val="clear" w:color="auto" w:fill="FFFFFF"/>
          </w:tcPr>
          <w:p w14:paraId="40518C50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06836CE" w14:textId="39592102" w:rsidR="00B76C16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115: State &amp; Local Government </w:t>
            </w:r>
          </w:p>
        </w:tc>
        <w:tc>
          <w:tcPr>
            <w:tcW w:w="830" w:type="dxa"/>
            <w:shd w:val="clear" w:color="auto" w:fill="FFFFFF"/>
          </w:tcPr>
          <w:p w14:paraId="190B72ED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507E447C" w14:textId="6C7E1AD1" w:rsidR="00B76C16" w:rsidRPr="00693D24" w:rsidRDefault="00FF6156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</w:p>
        </w:tc>
        <w:tc>
          <w:tcPr>
            <w:tcW w:w="830" w:type="dxa"/>
            <w:shd w:val="clear" w:color="auto" w:fill="FFFFFF"/>
          </w:tcPr>
          <w:p w14:paraId="1716316D" w14:textId="76835734" w:rsidR="00B76C16" w:rsidRDefault="002217F3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77777777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491977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49C8C24E" w14:textId="77777777" w:rsidTr="000B4A5F">
        <w:trPr>
          <w:trHeight w:val="284"/>
          <w:jc w:val="center"/>
        </w:trPr>
        <w:tc>
          <w:tcPr>
            <w:tcW w:w="4121" w:type="dxa"/>
            <w:vAlign w:val="center"/>
          </w:tcPr>
          <w:p w14:paraId="6F4E1763" w14:textId="3EE8A225" w:rsidR="008E35FE" w:rsidRPr="00693D24" w:rsidRDefault="00FF6156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215: Sociology of Race Relations </w:t>
            </w:r>
            <w:r w:rsidR="00371F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21E43045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599BAFB8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250: International Migration &amp; Human Rights </w:t>
            </w:r>
          </w:p>
        </w:tc>
        <w:tc>
          <w:tcPr>
            <w:tcW w:w="830" w:type="dxa"/>
            <w:vAlign w:val="center"/>
          </w:tcPr>
          <w:p w14:paraId="172F70E6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4FB7456D" w14:textId="77777777" w:rsidTr="00371F1A">
        <w:trPr>
          <w:trHeight w:val="332"/>
          <w:jc w:val="center"/>
        </w:trPr>
        <w:tc>
          <w:tcPr>
            <w:tcW w:w="4121" w:type="dxa"/>
          </w:tcPr>
          <w:p w14:paraId="35D30680" w14:textId="06C78A98" w:rsidR="008E35FE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245: Criminology </w:t>
            </w:r>
          </w:p>
        </w:tc>
        <w:tc>
          <w:tcPr>
            <w:tcW w:w="830" w:type="dxa"/>
          </w:tcPr>
          <w:p w14:paraId="7BAD2002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44B0F8CA" w:rsidR="008E35FE" w:rsidRPr="00693D24" w:rsidRDefault="00371F1A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308: Social Statistics w/ Computers </w:t>
            </w:r>
          </w:p>
        </w:tc>
        <w:tc>
          <w:tcPr>
            <w:tcW w:w="830" w:type="dxa"/>
          </w:tcPr>
          <w:p w14:paraId="19E2E6E1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F6156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12550FFF" w:rsidR="00FF6156" w:rsidRPr="00FE3CA5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304: Globalization &amp; Society </w:t>
            </w:r>
          </w:p>
        </w:tc>
        <w:tc>
          <w:tcPr>
            <w:tcW w:w="830" w:type="dxa"/>
            <w:vAlign w:val="center"/>
          </w:tcPr>
          <w:p w14:paraId="2D2B3076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38069B02" w:rsidR="00FF6156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315: Deviance </w:t>
            </w:r>
          </w:p>
        </w:tc>
        <w:tc>
          <w:tcPr>
            <w:tcW w:w="830" w:type="dxa"/>
          </w:tcPr>
          <w:p w14:paraId="54258DB0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F6156" w:rsidRPr="00693D24" w14:paraId="7EEEC576" w14:textId="77777777" w:rsidTr="00491977">
        <w:trPr>
          <w:trHeight w:val="284"/>
          <w:jc w:val="center"/>
        </w:trPr>
        <w:tc>
          <w:tcPr>
            <w:tcW w:w="4121" w:type="dxa"/>
          </w:tcPr>
          <w:p w14:paraId="7E49E1AD" w14:textId="70584E7A" w:rsidR="00FF6156" w:rsidRPr="00FE3CA5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307: Social Research w/ Computers </w:t>
            </w:r>
          </w:p>
        </w:tc>
        <w:tc>
          <w:tcPr>
            <w:tcW w:w="830" w:type="dxa"/>
            <w:vAlign w:val="center"/>
          </w:tcPr>
          <w:p w14:paraId="7363A15B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3E012C26" w:rsidR="00FF6156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332: Classic Social Theory</w:t>
            </w:r>
          </w:p>
        </w:tc>
        <w:tc>
          <w:tcPr>
            <w:tcW w:w="830" w:type="dxa"/>
          </w:tcPr>
          <w:p w14:paraId="2865A819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F6156" w:rsidRPr="00693D24" w14:paraId="0740DBAA" w14:textId="77777777" w:rsidTr="0062628B">
        <w:trPr>
          <w:trHeight w:val="284"/>
          <w:jc w:val="center"/>
        </w:trPr>
        <w:tc>
          <w:tcPr>
            <w:tcW w:w="4121" w:type="dxa"/>
          </w:tcPr>
          <w:p w14:paraId="291A3BE0" w14:textId="65210E6A" w:rsidR="00FF6156" w:rsidRPr="00FE3CA5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1: SSHS 001 Career Assessment/ Advisor Visit SSHS Advisor in Cahill Center (C209) </w:t>
            </w:r>
          </w:p>
        </w:tc>
        <w:tc>
          <w:tcPr>
            <w:tcW w:w="830" w:type="dxa"/>
            <w:vAlign w:val="center"/>
          </w:tcPr>
          <w:p w14:paraId="6E77CB87" w14:textId="3A6FADA3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04C7DB01" w14:textId="77777777" w:rsidR="00FF6156" w:rsidRPr="00693D24" w:rsidRDefault="00FF6156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02296AA4" w14:textId="4032F078" w:rsidR="00FF6156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2: SSHS 002 Resume/ Cover Letter/ Personal Visit SSHS Advisor in Cahill Center (C209) </w:t>
            </w:r>
          </w:p>
        </w:tc>
        <w:tc>
          <w:tcPr>
            <w:tcW w:w="830" w:type="dxa"/>
            <w:vAlign w:val="center"/>
          </w:tcPr>
          <w:p w14:paraId="09ECCEAD" w14:textId="250C2B07" w:rsidR="00FF6156" w:rsidRPr="00693D24" w:rsidRDefault="00FF6156" w:rsidP="006262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CC1860F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FF6156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FF6156" w:rsidRPr="00693D24" w:rsidRDefault="00FF6156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FF6156" w:rsidRPr="00693D24" w:rsidRDefault="00FF6156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FF6156" w:rsidRPr="00693D24" w:rsidRDefault="00FF6156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FF6156">
        <w:trPr>
          <w:trHeight w:val="77"/>
          <w:jc w:val="center"/>
        </w:trPr>
        <w:tc>
          <w:tcPr>
            <w:tcW w:w="4121" w:type="dxa"/>
          </w:tcPr>
          <w:p w14:paraId="7EA9396B" w14:textId="27143397" w:rsidR="008E35FE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355: Public Sociologies</w:t>
            </w:r>
          </w:p>
        </w:tc>
        <w:tc>
          <w:tcPr>
            <w:tcW w:w="830" w:type="dxa"/>
            <w:vAlign w:val="center"/>
          </w:tcPr>
          <w:p w14:paraId="3D0CCB7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7989AF5" w14:textId="79C298BF" w:rsidR="008E35FE" w:rsidRPr="00693D24" w:rsidRDefault="00371F1A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317: Fieldwork+</w:t>
            </w:r>
          </w:p>
        </w:tc>
        <w:tc>
          <w:tcPr>
            <w:tcW w:w="830" w:type="dxa"/>
            <w:vAlign w:val="center"/>
          </w:tcPr>
          <w:p w14:paraId="347DB20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FF6156">
        <w:trPr>
          <w:trHeight w:val="284"/>
          <w:jc w:val="center"/>
        </w:trPr>
        <w:tc>
          <w:tcPr>
            <w:tcW w:w="4121" w:type="dxa"/>
          </w:tcPr>
          <w:p w14:paraId="6EF55373" w14:textId="5EBB7194" w:rsidR="008E35FE" w:rsidRPr="00FE3CA5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 255: Human Rights in the Context of Law Enforcement/ SOCI 345: Race, Crime &amp; Justice 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C5CBD50" w14:textId="396AC7B4" w:rsidR="008E35FE" w:rsidRPr="00693D24" w:rsidRDefault="00371F1A" w:rsidP="00FF615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SOCI 410: Capstone Project in Sociology+</w:t>
            </w:r>
          </w:p>
        </w:tc>
        <w:tc>
          <w:tcPr>
            <w:tcW w:w="830" w:type="dxa"/>
            <w:vAlign w:val="center"/>
          </w:tcPr>
          <w:p w14:paraId="0CD798EE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491977">
        <w:trPr>
          <w:trHeight w:val="284"/>
          <w:jc w:val="center"/>
        </w:trPr>
        <w:tc>
          <w:tcPr>
            <w:tcW w:w="4121" w:type="dxa"/>
          </w:tcPr>
          <w:p w14:paraId="6D8B40B9" w14:textId="58012670" w:rsidR="008E35FE" w:rsidRPr="00693D24" w:rsidRDefault="00FF6156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694BEC0A" w14:textId="1D67DD77" w:rsidR="008E35FE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SOSC 235: History of Social Thought </w:t>
            </w:r>
          </w:p>
        </w:tc>
        <w:tc>
          <w:tcPr>
            <w:tcW w:w="830" w:type="dxa"/>
          </w:tcPr>
          <w:p w14:paraId="20AB249C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8F76EC">
        <w:trPr>
          <w:trHeight w:val="314"/>
          <w:jc w:val="center"/>
        </w:trPr>
        <w:tc>
          <w:tcPr>
            <w:tcW w:w="4121" w:type="dxa"/>
          </w:tcPr>
          <w:p w14:paraId="1B3D77ED" w14:textId="2846DA58" w:rsidR="008E35FE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34A7E69D" w:rsidR="008E35FE" w:rsidRPr="00693D24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3B5000" w:rsidRPr="00693D24" w14:paraId="62D1C9B2" w14:textId="77777777" w:rsidTr="000B4A5F">
        <w:trPr>
          <w:trHeight w:val="284"/>
          <w:jc w:val="center"/>
        </w:trPr>
        <w:tc>
          <w:tcPr>
            <w:tcW w:w="4121" w:type="dxa"/>
          </w:tcPr>
          <w:p w14:paraId="558D2FB4" w14:textId="4F3B87AE" w:rsidR="003B5000" w:rsidRPr="00FE3CA5" w:rsidRDefault="008F76EC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3: SSHS 003 Interview Practice/ Internship Search Visit SSHS Advisor in Cahill Center (C209) </w:t>
            </w:r>
          </w:p>
        </w:tc>
        <w:tc>
          <w:tcPr>
            <w:tcW w:w="830" w:type="dxa"/>
            <w:vAlign w:val="center"/>
          </w:tcPr>
          <w:p w14:paraId="246C0301" w14:textId="5EDB786B" w:rsidR="003B5000" w:rsidRPr="00693D24" w:rsidRDefault="0062628B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Grad.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Rqmt</w:t>
            </w:r>
            <w:proofErr w:type="spellEnd"/>
          </w:p>
        </w:tc>
        <w:tc>
          <w:tcPr>
            <w:tcW w:w="520" w:type="dxa"/>
          </w:tcPr>
          <w:p w14:paraId="5EBC0571" w14:textId="77777777" w:rsidR="003B5000" w:rsidRPr="00693D24" w:rsidRDefault="003B5000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E29B636" w14:textId="70693B6F" w:rsidR="003B5000" w:rsidRPr="00693D24" w:rsidRDefault="000B4A5F" w:rsidP="000B4A5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Elective </w:t>
            </w:r>
          </w:p>
        </w:tc>
        <w:tc>
          <w:tcPr>
            <w:tcW w:w="830" w:type="dxa"/>
            <w:vAlign w:val="center"/>
          </w:tcPr>
          <w:p w14:paraId="5140209D" w14:textId="101A0312" w:rsidR="003B5000" w:rsidRPr="00693D24" w:rsidRDefault="000B4A5F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20" w:type="dxa"/>
          </w:tcPr>
          <w:p w14:paraId="24300F90" w14:textId="77777777" w:rsidR="003B5000" w:rsidRPr="00693D24" w:rsidRDefault="003B5000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8E35FE" w:rsidRPr="00693D24" w:rsidRDefault="008E35FE" w:rsidP="00491977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4CE5E5B6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</w:t>
            </w:r>
            <w:r w:rsidR="000B4A5F">
              <w:rPr>
                <w:rFonts w:ascii="Arial Narrow" w:hAnsi="Arial Narrow"/>
              </w:rPr>
              <w:t>8</w:t>
            </w:r>
          </w:p>
        </w:tc>
        <w:tc>
          <w:tcPr>
            <w:tcW w:w="520" w:type="dxa"/>
          </w:tcPr>
          <w:p w14:paraId="6A25C4B5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77777777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6D786BEA" w14:textId="77777777" w:rsidR="009444B5" w:rsidRDefault="00731C5F" w:rsidP="00BB30D4">
      <w:pPr>
        <w:rPr>
          <w:rFonts w:ascii="Arial Narrow" w:hAnsi="Arial Narrow"/>
          <w:sz w:val="22"/>
          <w:szCs w:val="22"/>
        </w:rPr>
      </w:pPr>
      <w:r w:rsidRPr="00731C5F">
        <w:rPr>
          <w:rFonts w:ascii="Arial Narrow" w:hAnsi="Arial Narrow"/>
          <w:sz w:val="22"/>
          <w:szCs w:val="22"/>
        </w:rPr>
        <w:t>*Course can be chosen from an approved list</w:t>
      </w:r>
    </w:p>
    <w:p w14:paraId="37331F5D" w14:textId="7C44A3A7" w:rsidR="00371F1A" w:rsidRDefault="00755B0C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72D15" wp14:editId="7F3B77DA">
                <wp:simplePos x="0" y="0"/>
                <wp:positionH relativeFrom="column">
                  <wp:posOffset>-69668</wp:posOffset>
                </wp:positionH>
                <wp:positionV relativeFrom="paragraph">
                  <wp:posOffset>262255</wp:posOffset>
                </wp:positionV>
                <wp:extent cx="6857365" cy="455930"/>
                <wp:effectExtent l="0" t="0" r="13335" b="1397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603AA" w14:textId="77777777" w:rsidR="00755B0C" w:rsidRPr="007B054A" w:rsidRDefault="00755B0C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72D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5pt;margin-top:20.65pt;width:539.95pt;height: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" filled="f" strokeweight=".5pt">
                <v:textbox>
                  <w:txbxContent>
                    <w:p w14:paraId="357603AA" w14:textId="77777777" w:rsidR="00755B0C" w:rsidRPr="007B054A" w:rsidRDefault="00755B0C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71F1A">
        <w:rPr>
          <w:rFonts w:ascii="Arial Narrow" w:hAnsi="Arial Narrow"/>
          <w:sz w:val="22"/>
          <w:szCs w:val="22"/>
        </w:rPr>
        <w:t xml:space="preserve">+ Course only offered in corresponding semester </w:t>
      </w:r>
      <w:bookmarkStart w:id="0" w:name="_GoBack"/>
      <w:bookmarkEnd w:id="0"/>
    </w:p>
    <w:sectPr w:rsidR="00371F1A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0F9B3" w14:textId="77777777" w:rsidR="00A02DDF" w:rsidRDefault="00A02DDF">
      <w:r>
        <w:separator/>
      </w:r>
    </w:p>
  </w:endnote>
  <w:endnote w:type="continuationSeparator" w:id="0">
    <w:p w14:paraId="41E94E97" w14:textId="77777777" w:rsidR="00A02DDF" w:rsidRDefault="00A0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526B8" w14:textId="77777777" w:rsidR="00A02DDF" w:rsidRDefault="00A02DDF">
      <w:r>
        <w:separator/>
      </w:r>
    </w:p>
  </w:footnote>
  <w:footnote w:type="continuationSeparator" w:id="0">
    <w:p w14:paraId="784B7E8D" w14:textId="77777777" w:rsidR="00A02DDF" w:rsidRDefault="00A02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35700"/>
    <w:rsid w:val="00046821"/>
    <w:rsid w:val="00046ADB"/>
    <w:rsid w:val="000545D4"/>
    <w:rsid w:val="00075B99"/>
    <w:rsid w:val="0007706D"/>
    <w:rsid w:val="000A0D4B"/>
    <w:rsid w:val="000A3559"/>
    <w:rsid w:val="000B4A5F"/>
    <w:rsid w:val="000B4EB5"/>
    <w:rsid w:val="000D5EDA"/>
    <w:rsid w:val="000E1889"/>
    <w:rsid w:val="00133144"/>
    <w:rsid w:val="00145152"/>
    <w:rsid w:val="00146E18"/>
    <w:rsid w:val="0015273C"/>
    <w:rsid w:val="0017570A"/>
    <w:rsid w:val="001B059B"/>
    <w:rsid w:val="001C4816"/>
    <w:rsid w:val="0020260E"/>
    <w:rsid w:val="00217B5D"/>
    <w:rsid w:val="002217F3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714F4"/>
    <w:rsid w:val="00371F1A"/>
    <w:rsid w:val="00372FE9"/>
    <w:rsid w:val="0038069D"/>
    <w:rsid w:val="00397C9B"/>
    <w:rsid w:val="003B5000"/>
    <w:rsid w:val="003B52CC"/>
    <w:rsid w:val="003C15DE"/>
    <w:rsid w:val="003C1EF6"/>
    <w:rsid w:val="003D0ECE"/>
    <w:rsid w:val="003D487E"/>
    <w:rsid w:val="003D7766"/>
    <w:rsid w:val="003F6C99"/>
    <w:rsid w:val="00400CE5"/>
    <w:rsid w:val="004161E4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F2BA5"/>
    <w:rsid w:val="00513C24"/>
    <w:rsid w:val="00516025"/>
    <w:rsid w:val="0053363E"/>
    <w:rsid w:val="00534EC9"/>
    <w:rsid w:val="00565F45"/>
    <w:rsid w:val="005661E0"/>
    <w:rsid w:val="00571DD2"/>
    <w:rsid w:val="00577B3F"/>
    <w:rsid w:val="0058295D"/>
    <w:rsid w:val="00582C92"/>
    <w:rsid w:val="00590C6C"/>
    <w:rsid w:val="00591999"/>
    <w:rsid w:val="005969CE"/>
    <w:rsid w:val="005B0A9E"/>
    <w:rsid w:val="005B30E4"/>
    <w:rsid w:val="005C2EF0"/>
    <w:rsid w:val="005C36C7"/>
    <w:rsid w:val="005D31A2"/>
    <w:rsid w:val="005E27B1"/>
    <w:rsid w:val="005F4C72"/>
    <w:rsid w:val="0062628B"/>
    <w:rsid w:val="0063694C"/>
    <w:rsid w:val="00665AFC"/>
    <w:rsid w:val="00667B4C"/>
    <w:rsid w:val="00672D36"/>
    <w:rsid w:val="0067382A"/>
    <w:rsid w:val="00677F0E"/>
    <w:rsid w:val="00687825"/>
    <w:rsid w:val="00693D24"/>
    <w:rsid w:val="006A2262"/>
    <w:rsid w:val="006F014B"/>
    <w:rsid w:val="007220B9"/>
    <w:rsid w:val="0072231A"/>
    <w:rsid w:val="00730A18"/>
    <w:rsid w:val="00731C5F"/>
    <w:rsid w:val="00735D09"/>
    <w:rsid w:val="00755B0C"/>
    <w:rsid w:val="00764B6D"/>
    <w:rsid w:val="00777751"/>
    <w:rsid w:val="00797A29"/>
    <w:rsid w:val="0082121C"/>
    <w:rsid w:val="00823A20"/>
    <w:rsid w:val="00823EF4"/>
    <w:rsid w:val="00875572"/>
    <w:rsid w:val="00883EB3"/>
    <w:rsid w:val="008A6A2E"/>
    <w:rsid w:val="008C1D51"/>
    <w:rsid w:val="008E35FE"/>
    <w:rsid w:val="008F694B"/>
    <w:rsid w:val="008F76EC"/>
    <w:rsid w:val="00914129"/>
    <w:rsid w:val="00931FA1"/>
    <w:rsid w:val="0093304B"/>
    <w:rsid w:val="009444B5"/>
    <w:rsid w:val="0096577F"/>
    <w:rsid w:val="0098327C"/>
    <w:rsid w:val="0099297A"/>
    <w:rsid w:val="009967CC"/>
    <w:rsid w:val="009C61EB"/>
    <w:rsid w:val="009E605B"/>
    <w:rsid w:val="00A022F9"/>
    <w:rsid w:val="00A02DDF"/>
    <w:rsid w:val="00A33A49"/>
    <w:rsid w:val="00A352CB"/>
    <w:rsid w:val="00A54928"/>
    <w:rsid w:val="00A57775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F7C01"/>
    <w:rsid w:val="00C047E8"/>
    <w:rsid w:val="00C118A2"/>
    <w:rsid w:val="00C15D8F"/>
    <w:rsid w:val="00C21C0B"/>
    <w:rsid w:val="00C30465"/>
    <w:rsid w:val="00C30815"/>
    <w:rsid w:val="00C65968"/>
    <w:rsid w:val="00C674CA"/>
    <w:rsid w:val="00CB098F"/>
    <w:rsid w:val="00CB1EAC"/>
    <w:rsid w:val="00CB758C"/>
    <w:rsid w:val="00CC1E70"/>
    <w:rsid w:val="00CC2E8C"/>
    <w:rsid w:val="00CC687A"/>
    <w:rsid w:val="00CE1D71"/>
    <w:rsid w:val="00CE42AA"/>
    <w:rsid w:val="00D02140"/>
    <w:rsid w:val="00D05AC7"/>
    <w:rsid w:val="00D445B0"/>
    <w:rsid w:val="00D911C3"/>
    <w:rsid w:val="00D939FA"/>
    <w:rsid w:val="00DA1AFC"/>
    <w:rsid w:val="00DA37A9"/>
    <w:rsid w:val="00DA5957"/>
    <w:rsid w:val="00DD085B"/>
    <w:rsid w:val="00DF0E6C"/>
    <w:rsid w:val="00E0551C"/>
    <w:rsid w:val="00E10474"/>
    <w:rsid w:val="00E22E11"/>
    <w:rsid w:val="00E41269"/>
    <w:rsid w:val="00E53B4C"/>
    <w:rsid w:val="00E53C7A"/>
    <w:rsid w:val="00E70C97"/>
    <w:rsid w:val="00E916A1"/>
    <w:rsid w:val="00EC554B"/>
    <w:rsid w:val="00ED3E5A"/>
    <w:rsid w:val="00ED553C"/>
    <w:rsid w:val="00EE13C1"/>
    <w:rsid w:val="00EE2A4B"/>
    <w:rsid w:val="00EF501E"/>
    <w:rsid w:val="00EF50C3"/>
    <w:rsid w:val="00F218EC"/>
    <w:rsid w:val="00F2244C"/>
    <w:rsid w:val="00F63F48"/>
    <w:rsid w:val="00F7085B"/>
    <w:rsid w:val="00FB6AA6"/>
    <w:rsid w:val="00FD09B9"/>
    <w:rsid w:val="00FE3CA5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3</cp:revision>
  <cp:lastPrinted>2017-10-26T17:10:00Z</cp:lastPrinted>
  <dcterms:created xsi:type="dcterms:W3CDTF">2018-02-23T13:37:00Z</dcterms:created>
  <dcterms:modified xsi:type="dcterms:W3CDTF">2018-07-12T19:51:00Z</dcterms:modified>
</cp:coreProperties>
</file>