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83C" w:rsidRDefault="005D183C" w:rsidP="005D183C">
      <w:pPr>
        <w:spacing w:line="480" w:lineRule="auto"/>
        <w:ind w:firstLine="720"/>
        <w:jc w:val="both"/>
        <w:rPr>
          <w:rFonts w:ascii="Times New Roman" w:eastAsia="Times New Roman" w:hAnsi="Times New Roman" w:cs="Times New Roman"/>
          <w:color w:val="000000" w:themeColor="text1"/>
          <w:sz w:val="24"/>
          <w:szCs w:val="24"/>
        </w:rPr>
      </w:pPr>
    </w:p>
    <w:p w:rsidR="005D183C" w:rsidRDefault="005D183C" w:rsidP="005D183C">
      <w:pPr>
        <w:spacing w:line="480" w:lineRule="auto"/>
        <w:ind w:firstLine="720"/>
        <w:jc w:val="both"/>
        <w:rPr>
          <w:rFonts w:ascii="Times New Roman" w:eastAsia="Times New Roman" w:hAnsi="Times New Roman" w:cs="Times New Roman"/>
          <w:color w:val="000000" w:themeColor="text1"/>
          <w:sz w:val="24"/>
          <w:szCs w:val="24"/>
        </w:rPr>
      </w:pPr>
    </w:p>
    <w:p w:rsidR="005D183C" w:rsidRPr="005F6A17" w:rsidRDefault="005D183C" w:rsidP="005D183C">
      <w:pPr>
        <w:spacing w:line="480" w:lineRule="auto"/>
        <w:ind w:firstLine="720"/>
        <w:jc w:val="both"/>
        <w:rPr>
          <w:rFonts w:ascii="Times New Roman" w:eastAsia="Times New Roman" w:hAnsi="Times New Roman" w:cs="Times New Roman"/>
          <w:color w:val="000000" w:themeColor="text1"/>
          <w:sz w:val="24"/>
          <w:szCs w:val="24"/>
        </w:rPr>
      </w:pPr>
      <w:bookmarkStart w:id="0" w:name="_GoBack"/>
      <w:bookmarkEnd w:id="0"/>
      <w:r w:rsidRPr="005F6A17">
        <w:rPr>
          <w:rFonts w:ascii="Times New Roman" w:eastAsia="Times New Roman" w:hAnsi="Times New Roman" w:cs="Times New Roman"/>
          <w:color w:val="000000" w:themeColor="text1"/>
          <w:sz w:val="24"/>
          <w:szCs w:val="24"/>
        </w:rPr>
        <w:t>In this paper I will argue that the historical and continued suppression and attempted erasure of transgender individuals in America may be explained as an on-going process th</w:t>
      </w:r>
      <w:r>
        <w:rPr>
          <w:rFonts w:ascii="Times New Roman" w:eastAsia="Times New Roman" w:hAnsi="Times New Roman" w:cs="Times New Roman"/>
          <w:color w:val="000000" w:themeColor="text1"/>
          <w:sz w:val="24"/>
          <w:szCs w:val="24"/>
        </w:rPr>
        <w:t xml:space="preserve">rough the use of phenomenology. </w:t>
      </w:r>
      <w:r w:rsidRPr="005F6A17">
        <w:rPr>
          <w:rFonts w:ascii="Times New Roman" w:eastAsia="Times New Roman" w:hAnsi="Times New Roman" w:cs="Times New Roman"/>
          <w:color w:val="000000" w:themeColor="text1"/>
          <w:sz w:val="24"/>
          <w:szCs w:val="24"/>
        </w:rPr>
        <w:t>Especially since the election of Donald Trump, many issues surrounding the LGBTQ+ community, once considered resolved, have re-arisen, including the rights and visibility, or lack thereof, of transgender individuals; from police brutality, to serving in the military, and, most recently, whether they may be legally terminated from their jobs on the basis of their identities and expressions of them. I have chosen to research the historical and current trends of transgender erasure, as it seems the current administration is attempting to dissolve any autonomy these people currently possess. Within my research I have discovered interesting helpful distinctions such as the necessity of visibility before invisibility, which is self-imposed, and erasure, which is imp</w:t>
      </w:r>
      <w:r>
        <w:rPr>
          <w:rFonts w:ascii="Times New Roman" w:eastAsia="Times New Roman" w:hAnsi="Times New Roman" w:cs="Times New Roman"/>
          <w:color w:val="000000" w:themeColor="text1"/>
          <w:sz w:val="24"/>
          <w:szCs w:val="24"/>
        </w:rPr>
        <w:t>osed by others, and</w:t>
      </w:r>
      <w:r w:rsidRPr="005F6A17">
        <w:rPr>
          <w:rFonts w:ascii="Times New Roman" w:eastAsia="Times New Roman" w:hAnsi="Times New Roman" w:cs="Times New Roman"/>
          <w:color w:val="000000" w:themeColor="text1"/>
          <w:sz w:val="24"/>
          <w:szCs w:val="24"/>
        </w:rPr>
        <w:t xml:space="preserve"> the effect of Western suppression of gender fluidity such as the insistence for individuals to fit in one of the two binary gendered “boxes.” My key insight was to see the usefulness of phenomenology as an explanation for the persistence of re-emerging discussions of visibility and basic rights for those who are transgender within the United States. Up until this point there has been little to no philosophical discussion on this topic, especially by transgender philosophers. Most philosophical discussion has been on the periphery of more general gender work. </w:t>
      </w:r>
    </w:p>
    <w:p w:rsidR="00361821" w:rsidRDefault="005D183C"/>
    <w:sectPr w:rsidR="00361821" w:rsidSect="00EE1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3C"/>
    <w:rsid w:val="00296F0B"/>
    <w:rsid w:val="004A5D6E"/>
    <w:rsid w:val="00525C3A"/>
    <w:rsid w:val="005D183C"/>
    <w:rsid w:val="009B6CB2"/>
    <w:rsid w:val="00EE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67EAF"/>
  <w15:chartTrackingRefBased/>
  <w15:docId w15:val="{F4DED99F-F11B-1445-A300-2391399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Autospacing="1" w:afterAutospacing="1"/>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183C"/>
    <w:pPr>
      <w:spacing w:beforeAutospacing="0" w:afterAutospacing="0" w:line="276" w:lineRule="auto"/>
      <w:ind w:firstLine="0"/>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2020-04-08T23:44:00Z</dcterms:created>
  <dcterms:modified xsi:type="dcterms:W3CDTF">2020-04-08T23:44:00Z</dcterms:modified>
</cp:coreProperties>
</file>