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AF922" w14:textId="4E262508" w:rsidR="009071C1" w:rsidRDefault="009071C1" w:rsidP="009071C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Gina Gerbasio</w:t>
      </w:r>
      <w:bookmarkStart w:id="0" w:name="_GoBack"/>
      <w:bookmarkEnd w:id="0"/>
    </w:p>
    <w:p w14:paraId="28677E46" w14:textId="77777777" w:rsidR="00FC578B" w:rsidRDefault="00FC578B" w:rsidP="009071C1">
      <w:pPr>
        <w:spacing w:line="240" w:lineRule="auto"/>
        <w:jc w:val="both"/>
        <w:rPr>
          <w:rFonts w:ascii="Times New Roman" w:hAnsi="Times New Roman" w:cs="Times New Roman"/>
          <w:color w:val="000000" w:themeColor="text1"/>
          <w:sz w:val="24"/>
          <w:szCs w:val="24"/>
        </w:rPr>
      </w:pPr>
    </w:p>
    <w:p w14:paraId="25306F2F" w14:textId="1F28C011" w:rsidR="00FC578B" w:rsidRDefault="00FC578B" w:rsidP="00FC578B">
      <w:pPr>
        <w:spacing w:line="480" w:lineRule="auto"/>
        <w:jc w:val="center"/>
        <w:rPr>
          <w:rFonts w:ascii="Times New Roman" w:hAnsi="Times New Roman" w:cs="Times New Roman"/>
          <w:color w:val="000000" w:themeColor="text1"/>
          <w:sz w:val="24"/>
          <w:szCs w:val="24"/>
        </w:rPr>
      </w:pPr>
      <w:r w:rsidRPr="000E371C">
        <w:rPr>
          <w:rFonts w:ascii="Times New Roman" w:hAnsi="Times New Roman" w:cs="Times New Roman"/>
          <w:color w:val="000000" w:themeColor="text1"/>
          <w:sz w:val="24"/>
          <w:szCs w:val="24"/>
        </w:rPr>
        <w:t xml:space="preserve">“Dante’s Journey to Find Balance within Duality in </w:t>
      </w:r>
      <w:r w:rsidRPr="000E371C">
        <w:rPr>
          <w:rFonts w:ascii="Times New Roman" w:hAnsi="Times New Roman" w:cs="Times New Roman"/>
          <w:i/>
          <w:iCs/>
          <w:color w:val="000000" w:themeColor="text1"/>
          <w:sz w:val="24"/>
          <w:szCs w:val="24"/>
        </w:rPr>
        <w:t>The Divine Comedy</w:t>
      </w:r>
      <w:r w:rsidRPr="000E371C">
        <w:rPr>
          <w:rFonts w:ascii="Times New Roman" w:hAnsi="Times New Roman" w:cs="Times New Roman"/>
          <w:color w:val="000000" w:themeColor="text1"/>
          <w:sz w:val="24"/>
          <w:szCs w:val="24"/>
        </w:rPr>
        <w:t>”</w:t>
      </w:r>
      <w:r w:rsidRPr="000E371C">
        <w:rPr>
          <w:rFonts w:ascii="Times New Roman" w:hAnsi="Times New Roman" w:cs="Times New Roman"/>
          <w:color w:val="000000" w:themeColor="text1"/>
          <w:sz w:val="24"/>
          <w:szCs w:val="24"/>
        </w:rPr>
        <w:tab/>
      </w:r>
    </w:p>
    <w:p w14:paraId="795CFD8D" w14:textId="67B21553" w:rsidR="00F26E2E" w:rsidRPr="00F26E2E" w:rsidRDefault="00F26E2E" w:rsidP="00FC578B">
      <w:pPr>
        <w:spacing w:line="480" w:lineRule="auto"/>
        <w:jc w:val="center"/>
        <w:rPr>
          <w:rFonts w:ascii="Times New Roman" w:hAnsi="Times New Roman" w:cs="Times New Roman"/>
          <w:color w:val="000000" w:themeColor="text1"/>
          <w:sz w:val="24"/>
          <w:szCs w:val="24"/>
          <w:u w:val="single"/>
        </w:rPr>
      </w:pPr>
      <w:r w:rsidRPr="00F26E2E">
        <w:rPr>
          <w:rFonts w:ascii="Times New Roman" w:hAnsi="Times New Roman" w:cs="Times New Roman"/>
          <w:color w:val="000000" w:themeColor="text1"/>
          <w:sz w:val="24"/>
          <w:szCs w:val="24"/>
          <w:u w:val="single"/>
        </w:rPr>
        <w:t>Abstract</w:t>
      </w:r>
    </w:p>
    <w:p w14:paraId="7859641A" w14:textId="4F3480BE" w:rsidR="00900D50" w:rsidRDefault="00900D50" w:rsidP="00900D50">
      <w:pPr>
        <w:spacing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Dante Alighieri’s, </w:t>
      </w:r>
      <w:r>
        <w:rPr>
          <w:rFonts w:ascii="Times New Roman" w:hAnsi="Times New Roman" w:cs="Times New Roman"/>
          <w:i/>
          <w:iCs/>
          <w:color w:val="000000" w:themeColor="text1"/>
          <w:sz w:val="24"/>
          <w:szCs w:val="24"/>
        </w:rPr>
        <w:t xml:space="preserve">The Divine Comedy, </w:t>
      </w:r>
      <w:r>
        <w:rPr>
          <w:rFonts w:ascii="Times New Roman" w:hAnsi="Times New Roman" w:cs="Times New Roman"/>
          <w:color w:val="000000" w:themeColor="text1"/>
          <w:sz w:val="24"/>
          <w:szCs w:val="24"/>
        </w:rPr>
        <w:t>is widely regarded as one of the most influential pieces of poetry in World Literature. Aside from introducing the poetic style of Terza Rima, the trilogy established the importance of changing and expanding language to fit evolving and more complex themes and character development. As the events of the trilogy play out, Dante finds himself facing more difficult challenges and decisions, and the way in which these events are introduced and dealt with define yet another unique feature of Dante’s work that shapes much of the future of writing itself.</w:t>
      </w:r>
    </w:p>
    <w:p w14:paraId="186232AF" w14:textId="77777777" w:rsidR="00900D50" w:rsidRDefault="00900D50" w:rsidP="00900D50">
      <w:pPr>
        <w:spacing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Perhaps the most crucial manner of dealing with challenges in the trilogy is the way in which Alighieri chose to present them. He writes from the point of view of himself, the poet, describing a pilgrim who goes by the same name experiencing a journey indicative of the one he, himself, went through: the main difference being that, while Alighieri faced a metaphorical journey, Dante the pilgrim faces a literal journey from the depths of Hell to Purgatory to Paradise. This dual version of Dante, himself, is only the first of many dualities presented in the trilogy.</w:t>
      </w:r>
    </w:p>
    <w:p w14:paraId="0A3F1328" w14:textId="77777777" w:rsidR="00900D50" w:rsidRDefault="00900D50" w:rsidP="00900D50">
      <w:pPr>
        <w:spacing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paper explores the dualities of Dante’s existence, intellect and emotion, love and sin, and sin and sinner in connection to the way in which they make evident the importance of establishing and maintaining balance between both aspects of each duality to ensure an understanding of one’s identity as a flawed human with the capacity to grow and develop. </w:t>
      </w:r>
    </w:p>
    <w:p w14:paraId="30CEA61F" w14:textId="77777777" w:rsidR="00900D50" w:rsidRPr="007F5094" w:rsidRDefault="00900D50" w:rsidP="00900D50">
      <w:pPr>
        <w:spacing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paper concludes that this use of multiple dualities chronologically presents Dante’s metaphorical and literal journey as he rediscovers himself and his connection to God, as well as the overall importance of maintaining duality in all aspects of life.</w:t>
      </w:r>
    </w:p>
    <w:p w14:paraId="5082336D" w14:textId="3721772D" w:rsidR="008A2367" w:rsidRDefault="008A2367"/>
    <w:p w14:paraId="19E5C10F" w14:textId="1E2C0969" w:rsidR="00F26E2E" w:rsidRDefault="00F26E2E"/>
    <w:p w14:paraId="1A71B406" w14:textId="17140A79" w:rsidR="00F26E2E" w:rsidRDefault="00F26E2E"/>
    <w:p w14:paraId="76E27196" w14:textId="682C7915" w:rsidR="00F26E2E" w:rsidRDefault="00F26E2E"/>
    <w:p w14:paraId="0D2E028F" w14:textId="3924D8F4" w:rsidR="00F26E2E" w:rsidRDefault="00F26E2E"/>
    <w:p w14:paraId="55A3DA89" w14:textId="0A03A811" w:rsidR="00F26E2E" w:rsidRDefault="00F26E2E"/>
    <w:p w14:paraId="4953560A" w14:textId="1D188A83" w:rsidR="00F26E2E" w:rsidRDefault="00F26E2E"/>
    <w:p w14:paraId="51868500" w14:textId="30A940CB" w:rsidR="00F26E2E" w:rsidRDefault="00F26E2E"/>
    <w:p w14:paraId="7BB1E4FA" w14:textId="72AA500A" w:rsidR="00F26E2E" w:rsidRDefault="00F26E2E"/>
    <w:p w14:paraId="0ACD8E57" w14:textId="05B59046" w:rsidR="00F26E2E" w:rsidRDefault="00F26E2E" w:rsidP="00F26E2E">
      <w:pPr>
        <w:jc w:val="center"/>
        <w:rPr>
          <w:rFonts w:ascii="Times New Roman" w:hAnsi="Times New Roman" w:cs="Times New Roman"/>
          <w:sz w:val="24"/>
          <w:szCs w:val="24"/>
          <w:u w:val="single"/>
        </w:rPr>
      </w:pPr>
      <w:r w:rsidRPr="00F26E2E">
        <w:rPr>
          <w:rFonts w:ascii="Times New Roman" w:hAnsi="Times New Roman" w:cs="Times New Roman"/>
          <w:sz w:val="24"/>
          <w:szCs w:val="24"/>
          <w:u w:val="single"/>
        </w:rPr>
        <w:lastRenderedPageBreak/>
        <w:t>Literature Cited</w:t>
      </w:r>
    </w:p>
    <w:p w14:paraId="3AC1D57B" w14:textId="77777777" w:rsidR="00F26E2E" w:rsidRPr="000E371C" w:rsidRDefault="00F26E2E" w:rsidP="00F26E2E">
      <w:pPr>
        <w:spacing w:line="480" w:lineRule="auto"/>
        <w:rPr>
          <w:rFonts w:ascii="Times New Roman" w:hAnsi="Times New Roman" w:cs="Times New Roman"/>
          <w:color w:val="000000" w:themeColor="text1"/>
          <w:sz w:val="24"/>
          <w:szCs w:val="24"/>
        </w:rPr>
      </w:pPr>
      <w:r w:rsidRPr="000E371C">
        <w:rPr>
          <w:rFonts w:ascii="Times New Roman" w:hAnsi="Times New Roman" w:cs="Times New Roman"/>
          <w:color w:val="000000" w:themeColor="text1"/>
          <w:sz w:val="24"/>
          <w:szCs w:val="24"/>
        </w:rPr>
        <w:t xml:space="preserve">Alighieri, Dante. </w:t>
      </w:r>
      <w:r w:rsidRPr="000E371C">
        <w:rPr>
          <w:rFonts w:ascii="Times New Roman" w:hAnsi="Times New Roman" w:cs="Times New Roman"/>
          <w:i/>
          <w:iCs/>
          <w:color w:val="000000" w:themeColor="text1"/>
          <w:sz w:val="24"/>
          <w:szCs w:val="24"/>
        </w:rPr>
        <w:t xml:space="preserve">Inferno. </w:t>
      </w:r>
      <w:r w:rsidRPr="000E371C">
        <w:rPr>
          <w:rFonts w:ascii="Times New Roman" w:hAnsi="Times New Roman" w:cs="Times New Roman"/>
          <w:color w:val="000000" w:themeColor="text1"/>
          <w:sz w:val="24"/>
          <w:szCs w:val="24"/>
        </w:rPr>
        <w:t>Translated by Charles S. Singleton, Princeton University Press, 1977.</w:t>
      </w:r>
    </w:p>
    <w:p w14:paraId="3927AE3E" w14:textId="77777777" w:rsidR="00F26E2E" w:rsidRPr="000E371C" w:rsidRDefault="00F26E2E" w:rsidP="00F26E2E">
      <w:pPr>
        <w:spacing w:line="480" w:lineRule="auto"/>
        <w:rPr>
          <w:rFonts w:ascii="Times New Roman" w:hAnsi="Times New Roman" w:cs="Times New Roman"/>
          <w:color w:val="000000" w:themeColor="text1"/>
          <w:sz w:val="24"/>
          <w:szCs w:val="24"/>
          <w:shd w:val="clear" w:color="auto" w:fill="FFFFFF"/>
        </w:rPr>
      </w:pPr>
      <w:r w:rsidRPr="000E371C">
        <w:rPr>
          <w:rFonts w:ascii="Times New Roman" w:hAnsi="Times New Roman" w:cs="Times New Roman"/>
          <w:color w:val="000000" w:themeColor="text1"/>
          <w:sz w:val="24"/>
          <w:szCs w:val="24"/>
          <w:shd w:val="clear" w:color="auto" w:fill="FFFFFF"/>
        </w:rPr>
        <w:t xml:space="preserve">Alighieri, Dante. </w:t>
      </w:r>
      <w:proofErr w:type="spellStart"/>
      <w:r w:rsidRPr="000E371C">
        <w:rPr>
          <w:rFonts w:ascii="Times New Roman" w:hAnsi="Times New Roman" w:cs="Times New Roman"/>
          <w:i/>
          <w:iCs/>
          <w:color w:val="000000" w:themeColor="text1"/>
          <w:sz w:val="24"/>
          <w:szCs w:val="24"/>
          <w:shd w:val="clear" w:color="auto" w:fill="FFFFFF"/>
        </w:rPr>
        <w:t>Purgatorio</w:t>
      </w:r>
      <w:proofErr w:type="spellEnd"/>
      <w:r w:rsidRPr="000E371C">
        <w:rPr>
          <w:rFonts w:ascii="Times New Roman" w:hAnsi="Times New Roman" w:cs="Times New Roman"/>
          <w:i/>
          <w:iCs/>
          <w:color w:val="000000" w:themeColor="text1"/>
          <w:sz w:val="24"/>
          <w:szCs w:val="24"/>
          <w:shd w:val="clear" w:color="auto" w:fill="FFFFFF"/>
        </w:rPr>
        <w:t xml:space="preserve">. </w:t>
      </w:r>
      <w:r w:rsidRPr="000E371C">
        <w:rPr>
          <w:rFonts w:ascii="Times New Roman" w:hAnsi="Times New Roman" w:cs="Times New Roman"/>
          <w:color w:val="000000" w:themeColor="text1"/>
          <w:sz w:val="24"/>
          <w:szCs w:val="24"/>
        </w:rPr>
        <w:t xml:space="preserve">Translated by Charles S. Singleton, Princeton University Press, </w:t>
      </w:r>
      <w:r w:rsidRPr="000E371C">
        <w:rPr>
          <w:rFonts w:ascii="Times New Roman" w:hAnsi="Times New Roman" w:cs="Times New Roman"/>
          <w:color w:val="000000" w:themeColor="text1"/>
          <w:sz w:val="24"/>
          <w:szCs w:val="24"/>
        </w:rPr>
        <w:tab/>
        <w:t>1973.</w:t>
      </w:r>
    </w:p>
    <w:p w14:paraId="42546334" w14:textId="77777777" w:rsidR="00F26E2E" w:rsidRPr="000E371C" w:rsidRDefault="00F26E2E" w:rsidP="00F26E2E">
      <w:pPr>
        <w:spacing w:line="480" w:lineRule="auto"/>
        <w:rPr>
          <w:rFonts w:ascii="Times New Roman" w:hAnsi="Times New Roman" w:cs="Times New Roman"/>
          <w:color w:val="000000" w:themeColor="text1"/>
          <w:sz w:val="24"/>
          <w:szCs w:val="24"/>
        </w:rPr>
      </w:pPr>
      <w:proofErr w:type="spellStart"/>
      <w:r w:rsidRPr="000E371C">
        <w:rPr>
          <w:rFonts w:ascii="Times New Roman" w:hAnsi="Times New Roman" w:cs="Times New Roman"/>
          <w:color w:val="000000" w:themeColor="text1"/>
          <w:sz w:val="24"/>
          <w:szCs w:val="24"/>
          <w:shd w:val="clear" w:color="auto" w:fill="FFFFFF"/>
        </w:rPr>
        <w:t>Barolini</w:t>
      </w:r>
      <w:proofErr w:type="spellEnd"/>
      <w:r w:rsidRPr="000E371C">
        <w:rPr>
          <w:rFonts w:ascii="Times New Roman" w:hAnsi="Times New Roman" w:cs="Times New Roman"/>
          <w:color w:val="000000" w:themeColor="text1"/>
          <w:sz w:val="24"/>
          <w:szCs w:val="24"/>
          <w:shd w:val="clear" w:color="auto" w:fill="FFFFFF"/>
        </w:rPr>
        <w:t xml:space="preserve">, </w:t>
      </w:r>
      <w:proofErr w:type="spellStart"/>
      <w:r w:rsidRPr="000E371C">
        <w:rPr>
          <w:rFonts w:ascii="Times New Roman" w:hAnsi="Times New Roman" w:cs="Times New Roman"/>
          <w:color w:val="000000" w:themeColor="text1"/>
          <w:sz w:val="24"/>
          <w:szCs w:val="24"/>
          <w:shd w:val="clear" w:color="auto" w:fill="FFFFFF"/>
        </w:rPr>
        <w:t>Teodolinda</w:t>
      </w:r>
      <w:proofErr w:type="spellEnd"/>
      <w:r w:rsidRPr="000E371C">
        <w:rPr>
          <w:rFonts w:ascii="Times New Roman" w:hAnsi="Times New Roman" w:cs="Times New Roman"/>
          <w:color w:val="000000" w:themeColor="text1"/>
          <w:sz w:val="24"/>
          <w:szCs w:val="24"/>
          <w:shd w:val="clear" w:color="auto" w:fill="FFFFFF"/>
        </w:rPr>
        <w:t>. “‘Why Did Dante Write the Commedia?’ or the Vision Thing.” </w:t>
      </w:r>
      <w:r w:rsidRPr="000E371C">
        <w:rPr>
          <w:rFonts w:ascii="Times New Roman" w:hAnsi="Times New Roman" w:cs="Times New Roman"/>
          <w:i/>
          <w:iCs/>
          <w:color w:val="000000" w:themeColor="text1"/>
          <w:sz w:val="24"/>
          <w:szCs w:val="24"/>
          <w:shd w:val="clear" w:color="auto" w:fill="FFFFFF"/>
        </w:rPr>
        <w:t xml:space="preserve">Dante </w:t>
      </w:r>
      <w:r w:rsidRPr="000E371C">
        <w:rPr>
          <w:rFonts w:ascii="Times New Roman" w:hAnsi="Times New Roman" w:cs="Times New Roman"/>
          <w:i/>
          <w:iCs/>
          <w:color w:val="000000" w:themeColor="text1"/>
          <w:sz w:val="24"/>
          <w:szCs w:val="24"/>
          <w:shd w:val="clear" w:color="auto" w:fill="FFFFFF"/>
        </w:rPr>
        <w:tab/>
        <w:t>Studies, with the Annual Report of the Dante Society</w:t>
      </w:r>
      <w:r w:rsidRPr="000E371C">
        <w:rPr>
          <w:rFonts w:ascii="Times New Roman" w:hAnsi="Times New Roman" w:cs="Times New Roman"/>
          <w:color w:val="000000" w:themeColor="text1"/>
          <w:sz w:val="24"/>
          <w:szCs w:val="24"/>
          <w:shd w:val="clear" w:color="auto" w:fill="FFFFFF"/>
        </w:rPr>
        <w:t>, no. 111, 1993, pp. 1-8.</w:t>
      </w:r>
    </w:p>
    <w:p w14:paraId="3A6EA432" w14:textId="77777777" w:rsidR="00F26E2E" w:rsidRPr="000E371C" w:rsidRDefault="00F26E2E" w:rsidP="00F26E2E">
      <w:pPr>
        <w:spacing w:line="480" w:lineRule="auto"/>
        <w:rPr>
          <w:rFonts w:ascii="Times New Roman" w:hAnsi="Times New Roman" w:cs="Times New Roman"/>
          <w:color w:val="000000" w:themeColor="text1"/>
          <w:sz w:val="24"/>
          <w:szCs w:val="24"/>
          <w:shd w:val="clear" w:color="auto" w:fill="FFFFFF"/>
        </w:rPr>
      </w:pPr>
      <w:proofErr w:type="spellStart"/>
      <w:r w:rsidRPr="000E371C">
        <w:rPr>
          <w:rFonts w:ascii="Times New Roman" w:hAnsi="Times New Roman" w:cs="Times New Roman"/>
          <w:color w:val="000000" w:themeColor="text1"/>
          <w:sz w:val="24"/>
          <w:szCs w:val="24"/>
          <w:shd w:val="clear" w:color="auto" w:fill="FFFFFF"/>
        </w:rPr>
        <w:t>Moevs</w:t>
      </w:r>
      <w:proofErr w:type="spellEnd"/>
      <w:r w:rsidRPr="000E371C">
        <w:rPr>
          <w:rFonts w:ascii="Times New Roman" w:hAnsi="Times New Roman" w:cs="Times New Roman"/>
          <w:color w:val="000000" w:themeColor="text1"/>
          <w:sz w:val="24"/>
          <w:szCs w:val="24"/>
          <w:shd w:val="clear" w:color="auto" w:fill="FFFFFF"/>
        </w:rPr>
        <w:t xml:space="preserve">, Christian. “God's Feet and Hands (‘Paradiso’ 4.40-48): Non-Duality and Non-False </w:t>
      </w:r>
      <w:r w:rsidRPr="000E371C">
        <w:rPr>
          <w:rFonts w:ascii="Times New Roman" w:hAnsi="Times New Roman" w:cs="Times New Roman"/>
          <w:color w:val="000000" w:themeColor="text1"/>
          <w:sz w:val="24"/>
          <w:szCs w:val="24"/>
          <w:shd w:val="clear" w:color="auto" w:fill="FFFFFF"/>
        </w:rPr>
        <w:tab/>
        <w:t>Errors.” </w:t>
      </w:r>
      <w:r w:rsidRPr="000E371C">
        <w:rPr>
          <w:rFonts w:ascii="Times New Roman" w:hAnsi="Times New Roman" w:cs="Times New Roman"/>
          <w:i/>
          <w:iCs/>
          <w:color w:val="000000" w:themeColor="text1"/>
          <w:sz w:val="24"/>
          <w:szCs w:val="24"/>
          <w:shd w:val="clear" w:color="auto" w:fill="FFFFFF"/>
        </w:rPr>
        <w:t>MLN</w:t>
      </w:r>
      <w:r w:rsidRPr="000E371C">
        <w:rPr>
          <w:rFonts w:ascii="Times New Roman" w:hAnsi="Times New Roman" w:cs="Times New Roman"/>
          <w:color w:val="000000" w:themeColor="text1"/>
          <w:sz w:val="24"/>
          <w:szCs w:val="24"/>
          <w:shd w:val="clear" w:color="auto" w:fill="FFFFFF"/>
        </w:rPr>
        <w:t>, vol. 114, no. 1, 1999, pp. 1–13.</w:t>
      </w:r>
    </w:p>
    <w:p w14:paraId="419DF7FE" w14:textId="77777777" w:rsidR="00F26E2E" w:rsidRPr="000E371C" w:rsidRDefault="00F26E2E" w:rsidP="00F26E2E">
      <w:pPr>
        <w:spacing w:line="480" w:lineRule="auto"/>
        <w:rPr>
          <w:rFonts w:ascii="Times New Roman" w:hAnsi="Times New Roman" w:cs="Times New Roman"/>
          <w:color w:val="000000" w:themeColor="text1"/>
          <w:sz w:val="24"/>
          <w:szCs w:val="24"/>
          <w:shd w:val="clear" w:color="auto" w:fill="FFFFFF"/>
        </w:rPr>
      </w:pPr>
      <w:r w:rsidRPr="000E371C">
        <w:rPr>
          <w:rFonts w:ascii="Times New Roman" w:hAnsi="Times New Roman" w:cs="Times New Roman"/>
          <w:color w:val="000000" w:themeColor="text1"/>
          <w:sz w:val="24"/>
          <w:szCs w:val="24"/>
          <w:shd w:val="clear" w:color="auto" w:fill="FFFFFF"/>
        </w:rPr>
        <w:t xml:space="preserve">Potter, Joy </w:t>
      </w:r>
      <w:proofErr w:type="spellStart"/>
      <w:r w:rsidRPr="000E371C">
        <w:rPr>
          <w:rFonts w:ascii="Times New Roman" w:hAnsi="Times New Roman" w:cs="Times New Roman"/>
          <w:color w:val="000000" w:themeColor="text1"/>
          <w:sz w:val="24"/>
          <w:szCs w:val="24"/>
          <w:shd w:val="clear" w:color="auto" w:fill="FFFFFF"/>
        </w:rPr>
        <w:t>Hambuechen</w:t>
      </w:r>
      <w:proofErr w:type="spellEnd"/>
      <w:r w:rsidRPr="000E371C">
        <w:rPr>
          <w:rFonts w:ascii="Times New Roman" w:hAnsi="Times New Roman" w:cs="Times New Roman"/>
          <w:color w:val="000000" w:themeColor="text1"/>
          <w:sz w:val="24"/>
          <w:szCs w:val="24"/>
          <w:shd w:val="clear" w:color="auto" w:fill="FFFFFF"/>
        </w:rPr>
        <w:t>. “Beatrice, Dead or Alive: Love in the Vita Nuova.” </w:t>
      </w:r>
      <w:r w:rsidRPr="000E371C">
        <w:rPr>
          <w:rFonts w:ascii="Times New Roman" w:hAnsi="Times New Roman" w:cs="Times New Roman"/>
          <w:i/>
          <w:iCs/>
          <w:color w:val="000000" w:themeColor="text1"/>
          <w:sz w:val="24"/>
          <w:szCs w:val="24"/>
          <w:shd w:val="clear" w:color="auto" w:fill="FFFFFF"/>
        </w:rPr>
        <w:t xml:space="preserve">Texas Studies in </w:t>
      </w:r>
      <w:r w:rsidRPr="000E371C">
        <w:rPr>
          <w:rFonts w:ascii="Times New Roman" w:hAnsi="Times New Roman" w:cs="Times New Roman"/>
          <w:i/>
          <w:iCs/>
          <w:color w:val="000000" w:themeColor="text1"/>
          <w:sz w:val="24"/>
          <w:szCs w:val="24"/>
          <w:shd w:val="clear" w:color="auto" w:fill="FFFFFF"/>
        </w:rPr>
        <w:tab/>
        <w:t>Literature and Language</w:t>
      </w:r>
      <w:r w:rsidRPr="000E371C">
        <w:rPr>
          <w:rFonts w:ascii="Times New Roman" w:hAnsi="Times New Roman" w:cs="Times New Roman"/>
          <w:color w:val="000000" w:themeColor="text1"/>
          <w:sz w:val="24"/>
          <w:szCs w:val="24"/>
          <w:shd w:val="clear" w:color="auto" w:fill="FFFFFF"/>
        </w:rPr>
        <w:t>, vol. 32, no. 1, 1990, pp. 60–84. </w:t>
      </w:r>
    </w:p>
    <w:p w14:paraId="643F9F57" w14:textId="77777777" w:rsidR="00F26E2E" w:rsidRPr="000E371C" w:rsidRDefault="00F26E2E" w:rsidP="00F26E2E">
      <w:pPr>
        <w:spacing w:line="480" w:lineRule="auto"/>
        <w:rPr>
          <w:rFonts w:ascii="Times New Roman" w:hAnsi="Times New Roman" w:cs="Times New Roman"/>
          <w:color w:val="000000" w:themeColor="text1"/>
          <w:sz w:val="24"/>
          <w:szCs w:val="24"/>
          <w:shd w:val="clear" w:color="auto" w:fill="FFFFFF"/>
        </w:rPr>
      </w:pPr>
      <w:proofErr w:type="spellStart"/>
      <w:r w:rsidRPr="000E371C">
        <w:rPr>
          <w:rFonts w:ascii="Times New Roman" w:hAnsi="Times New Roman" w:cs="Times New Roman"/>
          <w:color w:val="000000" w:themeColor="text1"/>
          <w:sz w:val="24"/>
          <w:szCs w:val="24"/>
          <w:shd w:val="clear" w:color="auto" w:fill="FFFFFF"/>
        </w:rPr>
        <w:t>Schildgen</w:t>
      </w:r>
      <w:proofErr w:type="spellEnd"/>
      <w:r w:rsidRPr="000E371C">
        <w:rPr>
          <w:rFonts w:ascii="Times New Roman" w:hAnsi="Times New Roman" w:cs="Times New Roman"/>
          <w:color w:val="000000" w:themeColor="text1"/>
          <w:sz w:val="24"/>
          <w:szCs w:val="24"/>
          <w:shd w:val="clear" w:color="auto" w:fill="FFFFFF"/>
        </w:rPr>
        <w:t xml:space="preserve">, Brenda </w:t>
      </w:r>
      <w:proofErr w:type="spellStart"/>
      <w:r w:rsidRPr="000E371C">
        <w:rPr>
          <w:rFonts w:ascii="Times New Roman" w:hAnsi="Times New Roman" w:cs="Times New Roman"/>
          <w:color w:val="000000" w:themeColor="text1"/>
          <w:sz w:val="24"/>
          <w:szCs w:val="24"/>
          <w:shd w:val="clear" w:color="auto" w:fill="FFFFFF"/>
        </w:rPr>
        <w:t>Deen</w:t>
      </w:r>
      <w:proofErr w:type="spellEnd"/>
      <w:r w:rsidRPr="000E371C">
        <w:rPr>
          <w:rFonts w:ascii="Times New Roman" w:hAnsi="Times New Roman" w:cs="Times New Roman"/>
          <w:color w:val="000000" w:themeColor="text1"/>
          <w:sz w:val="24"/>
          <w:szCs w:val="24"/>
          <w:shd w:val="clear" w:color="auto" w:fill="FFFFFF"/>
        </w:rPr>
        <w:t>. “Civitas and Love: Looking Backward from Paradiso Viii.” </w:t>
      </w:r>
      <w:r w:rsidRPr="000E371C">
        <w:rPr>
          <w:rFonts w:ascii="Times New Roman" w:hAnsi="Times New Roman" w:cs="Times New Roman"/>
          <w:i/>
          <w:iCs/>
          <w:color w:val="000000" w:themeColor="text1"/>
          <w:sz w:val="24"/>
          <w:szCs w:val="24"/>
          <w:shd w:val="clear" w:color="auto" w:fill="FFFFFF"/>
        </w:rPr>
        <w:t xml:space="preserve">Vertical </w:t>
      </w:r>
      <w:r w:rsidRPr="000E371C">
        <w:rPr>
          <w:rFonts w:ascii="Times New Roman" w:hAnsi="Times New Roman" w:cs="Times New Roman"/>
          <w:i/>
          <w:iCs/>
          <w:color w:val="000000" w:themeColor="text1"/>
          <w:sz w:val="24"/>
          <w:szCs w:val="24"/>
          <w:shd w:val="clear" w:color="auto" w:fill="FFFFFF"/>
        </w:rPr>
        <w:tab/>
        <w:t>Readings in Dante's Comedy: Volume 1</w:t>
      </w:r>
      <w:r w:rsidRPr="000E371C">
        <w:rPr>
          <w:rFonts w:ascii="Times New Roman" w:hAnsi="Times New Roman" w:cs="Times New Roman"/>
          <w:color w:val="000000" w:themeColor="text1"/>
          <w:sz w:val="24"/>
          <w:szCs w:val="24"/>
          <w:shd w:val="clear" w:color="auto" w:fill="FFFFFF"/>
        </w:rPr>
        <w:t xml:space="preserve">, edited by George Corbett and Heather Webb, </w:t>
      </w:r>
      <w:r w:rsidRPr="000E371C">
        <w:rPr>
          <w:rFonts w:ascii="Times New Roman" w:hAnsi="Times New Roman" w:cs="Times New Roman"/>
          <w:color w:val="000000" w:themeColor="text1"/>
          <w:sz w:val="24"/>
          <w:szCs w:val="24"/>
          <w:shd w:val="clear" w:color="auto" w:fill="FFFFFF"/>
        </w:rPr>
        <w:tab/>
        <w:t>1st ed., Open Book Publishers, Cambridge, UK, 2015, pp. 161–180. </w:t>
      </w:r>
    </w:p>
    <w:p w14:paraId="77D0C529" w14:textId="77777777" w:rsidR="00F26E2E" w:rsidRPr="000E371C" w:rsidRDefault="00F26E2E" w:rsidP="00F26E2E">
      <w:pPr>
        <w:spacing w:line="480" w:lineRule="auto"/>
        <w:rPr>
          <w:rFonts w:ascii="Times New Roman" w:hAnsi="Times New Roman" w:cs="Times New Roman"/>
          <w:color w:val="000000" w:themeColor="text1"/>
          <w:sz w:val="24"/>
          <w:szCs w:val="24"/>
          <w:shd w:val="clear" w:color="auto" w:fill="FFFFFF"/>
        </w:rPr>
      </w:pPr>
      <w:r w:rsidRPr="000E371C">
        <w:rPr>
          <w:rFonts w:ascii="Times New Roman" w:hAnsi="Times New Roman" w:cs="Times New Roman"/>
          <w:color w:val="000000" w:themeColor="text1"/>
          <w:sz w:val="24"/>
          <w:szCs w:val="24"/>
          <w:shd w:val="clear" w:color="auto" w:fill="FFFFFF"/>
        </w:rPr>
        <w:t>Took, John. “'</w:t>
      </w:r>
      <w:proofErr w:type="spellStart"/>
      <w:r w:rsidRPr="000E371C">
        <w:rPr>
          <w:rFonts w:ascii="Times New Roman" w:hAnsi="Times New Roman" w:cs="Times New Roman"/>
          <w:color w:val="000000" w:themeColor="text1"/>
          <w:sz w:val="24"/>
          <w:szCs w:val="24"/>
          <w:shd w:val="clear" w:color="auto" w:fill="FFFFFF"/>
        </w:rPr>
        <w:t>S'io</w:t>
      </w:r>
      <w:proofErr w:type="spellEnd"/>
      <w:r w:rsidRPr="000E371C">
        <w:rPr>
          <w:rFonts w:ascii="Times New Roman" w:hAnsi="Times New Roman" w:cs="Times New Roman"/>
          <w:color w:val="000000" w:themeColor="text1"/>
          <w:sz w:val="24"/>
          <w:szCs w:val="24"/>
          <w:shd w:val="clear" w:color="auto" w:fill="FFFFFF"/>
        </w:rPr>
        <w:t xml:space="preserve"> </w:t>
      </w:r>
      <w:proofErr w:type="spellStart"/>
      <w:r w:rsidRPr="000E371C">
        <w:rPr>
          <w:rFonts w:ascii="Times New Roman" w:hAnsi="Times New Roman" w:cs="Times New Roman"/>
          <w:color w:val="000000" w:themeColor="text1"/>
          <w:sz w:val="24"/>
          <w:szCs w:val="24"/>
          <w:shd w:val="clear" w:color="auto" w:fill="FFFFFF"/>
        </w:rPr>
        <w:t>M'intuassi</w:t>
      </w:r>
      <w:proofErr w:type="spellEnd"/>
      <w:r w:rsidRPr="000E371C">
        <w:rPr>
          <w:rFonts w:ascii="Times New Roman" w:hAnsi="Times New Roman" w:cs="Times New Roman"/>
          <w:color w:val="000000" w:themeColor="text1"/>
          <w:sz w:val="24"/>
          <w:szCs w:val="24"/>
          <w:shd w:val="clear" w:color="auto" w:fill="FFFFFF"/>
        </w:rPr>
        <w:t xml:space="preserve">, Come Tu </w:t>
      </w:r>
      <w:proofErr w:type="spellStart"/>
      <w:r w:rsidRPr="000E371C">
        <w:rPr>
          <w:rFonts w:ascii="Times New Roman" w:hAnsi="Times New Roman" w:cs="Times New Roman"/>
          <w:color w:val="000000" w:themeColor="text1"/>
          <w:sz w:val="24"/>
          <w:szCs w:val="24"/>
          <w:shd w:val="clear" w:color="auto" w:fill="FFFFFF"/>
        </w:rPr>
        <w:t>T'inmii</w:t>
      </w:r>
      <w:proofErr w:type="spellEnd"/>
      <w:r w:rsidRPr="000E371C">
        <w:rPr>
          <w:rFonts w:ascii="Times New Roman" w:hAnsi="Times New Roman" w:cs="Times New Roman"/>
          <w:color w:val="000000" w:themeColor="text1"/>
          <w:sz w:val="24"/>
          <w:szCs w:val="24"/>
          <w:shd w:val="clear" w:color="auto" w:fill="FFFFFF"/>
        </w:rPr>
        <w:t xml:space="preserve">' (‘Par’., IX. 81): Patterns of Collective Being in </w:t>
      </w:r>
      <w:r w:rsidRPr="000E371C">
        <w:rPr>
          <w:rFonts w:ascii="Times New Roman" w:hAnsi="Times New Roman" w:cs="Times New Roman"/>
          <w:color w:val="000000" w:themeColor="text1"/>
          <w:sz w:val="24"/>
          <w:szCs w:val="24"/>
          <w:shd w:val="clear" w:color="auto" w:fill="FFFFFF"/>
        </w:rPr>
        <w:tab/>
        <w:t>Dante.” </w:t>
      </w:r>
      <w:r w:rsidRPr="000E371C">
        <w:rPr>
          <w:rFonts w:ascii="Times New Roman" w:hAnsi="Times New Roman" w:cs="Times New Roman"/>
          <w:i/>
          <w:iCs/>
          <w:color w:val="000000" w:themeColor="text1"/>
          <w:sz w:val="24"/>
          <w:szCs w:val="24"/>
          <w:shd w:val="clear" w:color="auto" w:fill="FFFFFF"/>
        </w:rPr>
        <w:t>The Modern Language Review</w:t>
      </w:r>
      <w:r w:rsidRPr="000E371C">
        <w:rPr>
          <w:rFonts w:ascii="Times New Roman" w:hAnsi="Times New Roman" w:cs="Times New Roman"/>
          <w:color w:val="000000" w:themeColor="text1"/>
          <w:sz w:val="24"/>
          <w:szCs w:val="24"/>
          <w:shd w:val="clear" w:color="auto" w:fill="FFFFFF"/>
        </w:rPr>
        <w:t>, vol. 101, no. 2, 2006, pp. 402–413. </w:t>
      </w:r>
    </w:p>
    <w:p w14:paraId="216C8E8B" w14:textId="77777777" w:rsidR="00F26E2E" w:rsidRPr="00F26E2E" w:rsidRDefault="00F26E2E" w:rsidP="00F26E2E">
      <w:pPr>
        <w:jc w:val="center"/>
        <w:rPr>
          <w:rFonts w:ascii="Times New Roman" w:hAnsi="Times New Roman" w:cs="Times New Roman"/>
          <w:sz w:val="24"/>
          <w:szCs w:val="24"/>
          <w:u w:val="single"/>
        </w:rPr>
      </w:pPr>
    </w:p>
    <w:sectPr w:rsidR="00F26E2E" w:rsidRPr="00F26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67"/>
    <w:rsid w:val="006E7A2B"/>
    <w:rsid w:val="008A2367"/>
    <w:rsid w:val="00900D50"/>
    <w:rsid w:val="009071C1"/>
    <w:rsid w:val="00F26E2E"/>
    <w:rsid w:val="00FC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4DAF"/>
  <w15:chartTrackingRefBased/>
  <w15:docId w15:val="{DBA0A83B-F121-4133-982C-57FB1A51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Gerbasio</dc:creator>
  <cp:keywords/>
  <dc:description/>
  <cp:lastModifiedBy>Gina Gerbasio</cp:lastModifiedBy>
  <cp:revision>8</cp:revision>
  <dcterms:created xsi:type="dcterms:W3CDTF">2020-04-12T20:40:00Z</dcterms:created>
  <dcterms:modified xsi:type="dcterms:W3CDTF">2020-04-15T01:35:00Z</dcterms:modified>
</cp:coreProperties>
</file>