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1050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5251"/>
        <w:tblGridChange w:id="0">
          <w:tblGrid>
            <w:gridCol w:w="5250"/>
            <w:gridCol w:w="5251"/>
          </w:tblGrid>
        </w:tblGridChange>
      </w:tblGrid>
      <w:tr>
        <w:trPr>
          <w:cantSplit w:val="0"/>
          <w:trHeight w:val="4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15" w:firstLine="0"/>
              <w:rPr>
                <w:color w:val="000000"/>
              </w:rPr>
            </w:pPr>
            <w:r w:rsidDel="00000000" w:rsidR="00000000" w:rsidRPr="00000000">
              <w:rPr>
                <w:color w:val="000000"/>
              </w:rPr>
              <w:drawing>
                <wp:inline distB="19050" distT="19050" distL="19050" distR="19050">
                  <wp:extent cx="1543050" cy="5524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08" w:firstLine="0"/>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School of </w:t>
            </w:r>
            <w:r w:rsidDel="00000000" w:rsidR="00000000" w:rsidRPr="00000000">
              <w:rPr>
                <w:rFonts w:ascii="Times New Roman" w:cs="Times New Roman" w:eastAsia="Times New Roman" w:hAnsi="Times New Roman"/>
                <w:b w:val="1"/>
                <w:bCs w:val="1"/>
                <w:sz w:val="26"/>
                <w:szCs w:val="26"/>
                <w:rtl w:val="0"/>
              </w:rPr>
              <w:t xml:space="preserve">Arts, Humanities and Education</w:t>
            </w:r>
            <w:r w:rsidDel="00000000" w:rsidR="00000000" w:rsidRPr="00000000">
              <w:rPr>
                <w:rtl w:val="0"/>
              </w:rPr>
            </w:r>
          </w:p>
        </w:tc>
      </w:tr>
    </w:tbl>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16"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English and Literary Studies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43" w:line="240" w:lineRule="auto"/>
        <w:ind w:left="1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Recommended </w:t>
      </w:r>
      <w:r w:rsidDel="00000000" w:rsidR="00000000" w:rsidRPr="00000000">
        <w:rPr>
          <w:rFonts w:ascii="Times New Roman" w:cs="Times New Roman" w:eastAsia="Times New Roman" w:hAnsi="Times New Roman"/>
          <w:sz w:val="24"/>
          <w:szCs w:val="24"/>
          <w:rtl w:val="0"/>
        </w:rPr>
        <w:t xml:space="preserve">Graduation Plan</w:t>
      </w:r>
      <w:r w:rsidDel="00000000" w:rsidR="00000000" w:rsidRPr="00000000">
        <w:rPr>
          <w:rFonts w:ascii="Times New Roman" w:cs="Times New Roman" w:eastAsia="Times New Roman" w:hAnsi="Times New Roman"/>
          <w:color w:val="000000"/>
          <w:sz w:val="24"/>
          <w:szCs w:val="24"/>
          <w:rtl w:val="0"/>
        </w:rPr>
        <w:t xml:space="preserve"> (Fall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30" w:line="239" w:lineRule="auto"/>
        <w:ind w:left="13" w:right="208" w:firstLine="4.00000000000000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recommended </w:t>
      </w:r>
      <w:r w:rsidDel="00000000" w:rsidR="00000000" w:rsidRPr="00000000">
        <w:rPr>
          <w:rFonts w:ascii="Times New Roman" w:cs="Times New Roman" w:eastAsia="Times New Roman" w:hAnsi="Times New Roman"/>
          <w:sz w:val="20"/>
          <w:szCs w:val="20"/>
          <w:rtl w:val="0"/>
        </w:rPr>
        <w:t xml:space="preserve">graduation plan </w:t>
      </w:r>
      <w:r w:rsidDel="00000000" w:rsidR="00000000" w:rsidRPr="00000000">
        <w:rPr>
          <w:rFonts w:ascii="Times New Roman" w:cs="Times New Roman" w:eastAsia="Times New Roman" w:hAnsi="Times New Roman"/>
          <w:color w:val="000000"/>
          <w:sz w:val="20"/>
          <w:szCs w:val="20"/>
          <w:rtl w:val="0"/>
        </w:rPr>
        <w:t xml:space="preserve">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6" w:line="240" w:lineRule="auto"/>
        <w:ind w:left="1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NOTE: </w:t>
      </w:r>
      <w:r w:rsidDel="00000000" w:rsidR="00000000" w:rsidRPr="00000000">
        <w:rPr>
          <w:rFonts w:ascii="Times New Roman" w:cs="Times New Roman" w:eastAsia="Times New Roman" w:hAnsi="Times New Roman"/>
          <w:color w:val="000000"/>
          <w:sz w:val="20"/>
          <w:szCs w:val="20"/>
          <w:rtl w:val="0"/>
        </w:rPr>
        <w:t xml:space="preserve">This recommended </w:t>
      </w:r>
      <w:r w:rsidDel="00000000" w:rsidR="00000000" w:rsidRPr="00000000">
        <w:rPr>
          <w:rFonts w:ascii="Times New Roman" w:cs="Times New Roman" w:eastAsia="Times New Roman" w:hAnsi="Times New Roman"/>
          <w:sz w:val="20"/>
          <w:szCs w:val="20"/>
          <w:rtl w:val="0"/>
        </w:rPr>
        <w:t xml:space="preserve">Graduation Plan</w:t>
      </w:r>
      <w:r w:rsidDel="00000000" w:rsidR="00000000" w:rsidRPr="00000000">
        <w:rPr>
          <w:rFonts w:ascii="Times New Roman" w:cs="Times New Roman" w:eastAsia="Times New Roman" w:hAnsi="Times New Roman"/>
          <w:color w:val="000000"/>
          <w:sz w:val="20"/>
          <w:szCs w:val="20"/>
          <w:rtl w:val="0"/>
        </w:rPr>
        <w:t xml:space="preserve"> is applicable to students admitted into the major during the 202</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 academic year.</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bookmarkStart w:colFirst="0" w:colLast="0" w:name="_heading=h.3yqk46f65wed"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jc w:val="center"/>
              <w:rPr>
                <w:sz w:val="20"/>
                <w:szCs w:val="20"/>
                <w:shd w:fill="d9d9d9" w:val="clear"/>
              </w:rPr>
            </w:pPr>
            <w:r w:rsidDel="00000000" w:rsidR="00000000" w:rsidRPr="00000000">
              <w:rPr>
                <w:rFonts w:ascii="Times New Roman" w:cs="Times New Roman" w:eastAsia="Times New Roman" w:hAnsi="Times New Roman"/>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jc w:val="center"/>
              <w:rPr>
                <w:sz w:val="20"/>
                <w:szCs w:val="20"/>
              </w:rPr>
            </w:pPr>
            <w:r w:rsidDel="00000000" w:rsidR="00000000" w:rsidRPr="00000000">
              <w:rPr>
                <w:rFonts w:ascii="Times New Roman" w:cs="Times New Roman" w:eastAsia="Times New Roman" w:hAnsi="Times New Roman"/>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jc w:val="center"/>
              <w:rPr>
                <w:sz w:val="20"/>
                <w:szCs w:val="20"/>
              </w:rPr>
            </w:pPr>
            <w:r w:rsidDel="00000000" w:rsidR="00000000" w:rsidRPr="00000000">
              <w:rPr>
                <w:rFonts w:ascii="Times New Roman" w:cs="Times New Roman" w:eastAsia="Times New Roman" w:hAnsi="Times New Roman"/>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jc w:val="center"/>
              <w:rPr>
                <w:sz w:val="20"/>
                <w:szCs w:val="20"/>
              </w:rPr>
            </w:pPr>
            <w:r w:rsidDel="00000000" w:rsidR="00000000" w:rsidRPr="00000000">
              <w:rPr>
                <w:rFonts w:ascii="Times New Roman" w:cs="Times New Roman" w:eastAsia="Times New Roman" w:hAnsi="Times New Roman"/>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jc w:val="center"/>
              <w:rPr>
                <w:sz w:val="20"/>
                <w:szCs w:val="20"/>
              </w:rPr>
            </w:pPr>
            <w:r w:rsidDel="00000000" w:rsidR="00000000" w:rsidRPr="00000000">
              <w:rPr>
                <w:rFonts w:ascii="Times New Roman" w:cs="Times New Roman" w:eastAsia="Times New Roman" w:hAnsi="Times New Roman"/>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highlight w:val="white"/>
              </w:rPr>
            </w:pPr>
            <w:r w:rsidDel="00000000" w:rsidR="00000000" w:rsidRPr="00000000">
              <w:rPr>
                <w:rtl w:val="0"/>
              </w:rPr>
            </w:r>
          </w:p>
        </w:tc>
      </w:tr>
    </w:tbl>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NOTE</w:t>
      </w:r>
      <w:r w:rsidDel="00000000" w:rsidR="00000000" w:rsidRPr="00000000">
        <w:rPr>
          <w:rFonts w:ascii="Times New Roman" w:cs="Times New Roman" w:eastAsia="Times New Roman" w:hAnsi="Times New Roman"/>
          <w:sz w:val="20"/>
          <w:szCs w:val="20"/>
          <w:rtl w:val="0"/>
        </w:rPr>
        <w:t xml:space="preserve">: CRWT and MATH courses are determined by placement testing and should be taken following the sequence above. </w:t>
      </w:r>
    </w:p>
    <w:tbl>
      <w:tblPr>
        <w:tblStyle w:val="Table3"/>
        <w:tblW w:w="1050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8"/>
        <w:gridCol w:w="811"/>
        <w:gridCol w:w="508"/>
        <w:gridCol w:w="3835"/>
        <w:gridCol w:w="811"/>
        <w:gridCol w:w="508"/>
        <w:tblGridChange w:id="0">
          <w:tblGrid>
            <w:gridCol w:w="4028"/>
            <w:gridCol w:w="811"/>
            <w:gridCol w:w="508"/>
            <w:gridCol w:w="3835"/>
            <w:gridCol w:w="811"/>
            <w:gridCol w:w="508"/>
          </w:tblGrid>
        </w:tblGridChange>
      </w:tblGrid>
      <w:tr>
        <w:trPr>
          <w:cantSplit w:val="0"/>
          <w:trHeight w:val="555"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First Year</w:t>
            </w:r>
          </w:p>
        </w:tc>
      </w:tr>
      <w:tr>
        <w:trPr>
          <w:cantSplit w:val="0"/>
          <w:trHeight w:val="5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0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1218356432"/>
                <w:tag w:val="goog_rdk_0"/>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0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1627716619"/>
                <w:tag w:val="goog_rdk_1"/>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101"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Gen Ed: INTD 101-First Year Seminar </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39" w:lineRule="auto"/>
              <w:ind w:left="97" w:right="670" w:firstLine="4.000000000000003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Gen Ed: CRWT 102-Critical Reading &amp;  Writing II</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ind w:left="101"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Gen Ed: Quantitative Reasoning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Gen Ed: Global Awareness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6" w:line="239" w:lineRule="auto"/>
              <w:ind w:left="97" w:right="29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LITR 203-Methods of Literary Study  WI</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Gen</w:t>
            </w:r>
            <w:r w:rsidDel="00000000" w:rsidR="00000000" w:rsidRPr="00000000">
              <w:rPr>
                <w:rFonts w:ascii="Times New Roman" w:cs="Times New Roman" w:eastAsia="Times New Roman" w:hAnsi="Times New Roman"/>
                <w:sz w:val="20"/>
                <w:szCs w:val="20"/>
                <w:rtl w:val="0"/>
              </w:rPr>
              <w:t xml:space="preserve">eral Education Requirement</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6" w:line="239" w:lineRule="auto"/>
              <w:ind w:left="97" w:right="92" w:firstLine="1.999999999999993"/>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Major: Early Literature in English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39" w:lineRule="auto"/>
              <w:ind w:left="98" w:right="807" w:firstLine="3.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Career Pathways: PATH </w:t>
            </w:r>
            <w:r w:rsidDel="00000000" w:rsidR="00000000" w:rsidRPr="00000000">
              <w:rPr>
                <w:rFonts w:ascii="Times New Roman" w:cs="Times New Roman" w:eastAsia="Times New Roman" w:hAnsi="Times New Roman"/>
                <w:sz w:val="20"/>
                <w:szCs w:val="20"/>
                <w:rtl w:val="0"/>
              </w:rPr>
              <w:t xml:space="preserve">00</w:t>
            </w:r>
            <w:r w:rsidDel="00000000" w:rsidR="00000000" w:rsidRPr="00000000">
              <w:rPr>
                <w:rFonts w:ascii="Times New Roman" w:cs="Times New Roman" w:eastAsia="Times New Roman" w:hAnsi="Times New Roman"/>
                <w:color w:val="000000"/>
                <w:sz w:val="20"/>
                <w:szCs w:val="20"/>
                <w:rtl w:val="0"/>
              </w:rPr>
              <w:t xml:space="preserve">1 - Career  Pathways Module 1</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Degree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6"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4"/>
        <w:tblW w:w="1050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8"/>
        <w:gridCol w:w="811"/>
        <w:gridCol w:w="508"/>
        <w:gridCol w:w="3835"/>
        <w:gridCol w:w="811"/>
        <w:gridCol w:w="508"/>
        <w:tblGridChange w:id="0">
          <w:tblGrid>
            <w:gridCol w:w="4028"/>
            <w:gridCol w:w="811"/>
            <w:gridCol w:w="508"/>
            <w:gridCol w:w="3835"/>
            <w:gridCol w:w="811"/>
            <w:gridCol w:w="508"/>
          </w:tblGrid>
        </w:tblGridChange>
      </w:tblGrid>
      <w:tr>
        <w:trPr>
          <w:cantSplit w:val="0"/>
          <w:trHeight w:val="498"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Second Year</w:t>
            </w:r>
          </w:p>
        </w:tc>
      </w:tr>
      <w:tr>
        <w:trPr>
          <w:cantSplit w:val="0"/>
          <w:trHeight w:val="5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10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1294211669"/>
                <w:tag w:val="goog_rdk_2"/>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10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502420843"/>
                <w:tag w:val="goog_rdk_3"/>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ind w:left="9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Diverse Perspectives </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ind w:left="98" w:firstLine="0"/>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sz w:val="20"/>
                <w:szCs w:val="20"/>
                <w:rtl w:val="0"/>
              </w:rPr>
              <w:t xml:space="preserve">General Education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ind w:left="9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Major: Global Perspectives </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Early Literature in English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spacing w:line="240" w:lineRule="auto"/>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39" w:lineRule="auto"/>
              <w:ind w:left="98" w:right="807" w:firstLine="3.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Career Pathways: PATH </w:t>
            </w:r>
            <w:r w:rsidDel="00000000" w:rsidR="00000000" w:rsidRPr="00000000">
              <w:rPr>
                <w:rFonts w:ascii="Times New Roman" w:cs="Times New Roman" w:eastAsia="Times New Roman" w:hAnsi="Times New Roman"/>
                <w:sz w:val="20"/>
                <w:szCs w:val="20"/>
                <w:rtl w:val="0"/>
              </w:rPr>
              <w:t xml:space="preserve">00</w:t>
            </w:r>
            <w:r w:rsidDel="00000000" w:rsidR="00000000" w:rsidRPr="00000000">
              <w:rPr>
                <w:rFonts w:ascii="Times New Roman" w:cs="Times New Roman" w:eastAsia="Times New Roman" w:hAnsi="Times New Roman"/>
                <w:color w:val="000000"/>
                <w:sz w:val="20"/>
                <w:szCs w:val="20"/>
                <w:rtl w:val="0"/>
              </w:rPr>
              <w:t xml:space="preserve">2 - Career  Pathways Module 2</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Degree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6"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39" w:lineRule="auto"/>
              <w:ind w:left="98" w:right="615" w:firstLine="3.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Career Pathways: PATH </w:t>
            </w:r>
            <w:r w:rsidDel="00000000" w:rsidR="00000000" w:rsidRPr="00000000">
              <w:rPr>
                <w:rFonts w:ascii="Times New Roman" w:cs="Times New Roman" w:eastAsia="Times New Roman" w:hAnsi="Times New Roman"/>
                <w:sz w:val="20"/>
                <w:szCs w:val="20"/>
                <w:rtl w:val="0"/>
              </w:rPr>
              <w:t xml:space="preserve">00</w:t>
            </w:r>
            <w:r w:rsidDel="00000000" w:rsidR="00000000" w:rsidRPr="00000000">
              <w:rPr>
                <w:rFonts w:ascii="Times New Roman" w:cs="Times New Roman" w:eastAsia="Times New Roman" w:hAnsi="Times New Roman"/>
                <w:color w:val="000000"/>
                <w:sz w:val="20"/>
                <w:szCs w:val="20"/>
                <w:rtl w:val="0"/>
              </w:rPr>
              <w:t xml:space="preserve">3 - Career  Pathways Module 3</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Degree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6"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Rqmt.</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50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1"/>
        <w:tblGridChange w:id="0">
          <w:tblGrid>
            <w:gridCol w:w="10501"/>
          </w:tblGrid>
        </w:tblGridChange>
      </w:tblGrid>
      <w:tr>
        <w:trPr>
          <w:cantSplit w:val="0"/>
          <w:trHeight w:val="4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Third Year</w:t>
            </w:r>
          </w:p>
        </w:tc>
      </w:tr>
    </w:tbl>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6"/>
        <w:tblW w:w="1050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8"/>
        <w:gridCol w:w="811"/>
        <w:gridCol w:w="508"/>
        <w:gridCol w:w="3835"/>
        <w:gridCol w:w="811"/>
        <w:gridCol w:w="508"/>
        <w:tblGridChange w:id="0">
          <w:tblGrid>
            <w:gridCol w:w="4028"/>
            <w:gridCol w:w="811"/>
            <w:gridCol w:w="508"/>
            <w:gridCol w:w="3835"/>
            <w:gridCol w:w="811"/>
            <w:gridCol w:w="508"/>
          </w:tblGrid>
        </w:tblGridChange>
      </w:tblGrid>
      <w:tr>
        <w:trPr>
          <w:cantSplit w:val="0"/>
          <w:trHeight w:val="5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ind w:left="10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1668613540"/>
                <w:tag w:val="goog_rdk_4"/>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ind w:left="10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989758349"/>
                <w:tag w:val="goog_rdk_5"/>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LITR 319- Author Studies WI </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Global Perspectives </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Critical Approaches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6" w:line="239" w:lineRule="auto"/>
              <w:ind w:left="99" w:right="468" w:firstLine="4.0000000000000036"/>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bCs w:val="1"/>
                <w:color w:val="000000"/>
                <w:sz w:val="20"/>
                <w:szCs w:val="20"/>
                <w:rtl w:val="0"/>
              </w:rPr>
              <w:t xml:space="preserve">Consider LITR 306 to fulfill GE Values/ Ethics)</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Literature Elective </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Diverse Perspectives </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Literature Elective </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spacing w:line="240" w:lineRule="auto"/>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7"/>
        <w:tblW w:w="10501.0" w:type="dxa"/>
        <w:jc w:val="left"/>
        <w:tblInd w:w="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8"/>
        <w:gridCol w:w="811"/>
        <w:gridCol w:w="508"/>
        <w:gridCol w:w="3835"/>
        <w:gridCol w:w="811"/>
        <w:gridCol w:w="508"/>
        <w:tblGridChange w:id="0">
          <w:tblGrid>
            <w:gridCol w:w="4028"/>
            <w:gridCol w:w="811"/>
            <w:gridCol w:w="508"/>
            <w:gridCol w:w="3835"/>
            <w:gridCol w:w="811"/>
            <w:gridCol w:w="508"/>
          </w:tblGrid>
        </w:tblGridChange>
      </w:tblGrid>
      <w:tr>
        <w:trPr>
          <w:cantSplit w:val="0"/>
          <w:trHeight w:val="498"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Fourth Year</w:t>
            </w:r>
          </w:p>
        </w:tc>
      </w:tr>
      <w:tr>
        <w:trPr>
          <w:cantSplit w:val="0"/>
          <w:trHeight w:val="5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10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Fall Semester </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1469709315"/>
                <w:tag w:val="goog_rdk_6"/>
              </w:sdtPr>
              <w:sdtContent>
                <w:r w:rsidDel="00000000" w:rsidR="00000000" w:rsidRPr="00000000">
                  <w:rPr>
                    <w:rFonts w:ascii="Arial Unicode MS" w:cs="Arial Unicode MS" w:eastAsia="Arial Unicode MS" w:hAnsi="Arial Unicode MS"/>
                    <w:color w:val="000000"/>
                    <w:sz w:val="24"/>
                    <w:szCs w:val="24"/>
                    <w:rtl w:val="0"/>
                  </w:rPr>
                  <w:t xml:space="preserve">✓ </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0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Spring Semester </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HRS </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sdt>
              <w:sdtPr>
                <w:id w:val="-192669422"/>
                <w:tag w:val="goog_rdk_7"/>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Major: LITR 414 Literature Seminar WI </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spacing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Free Elective </w:t>
            </w:r>
            <w:r w:rsidDel="00000000" w:rsidR="00000000" w:rsidRPr="00000000">
              <w:rPr>
                <w:rFonts w:ascii="Times New Roman" w:cs="Times New Roman" w:eastAsia="Times New Roman" w:hAnsi="Times New Roman"/>
                <w:sz w:val="20"/>
                <w:szCs w:val="20"/>
                <w:highlight w:val="white"/>
                <w:rtl w:val="0"/>
              </w:rPr>
              <w:t xml:space="preserve">(minor, certificate, or second major requirement)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ind w:left="10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Total Credits Required: </w:t>
      </w:r>
      <w:r w:rsidDel="00000000" w:rsidR="00000000" w:rsidRPr="00000000">
        <w:rPr>
          <w:rFonts w:ascii="Times New Roman" w:cs="Times New Roman" w:eastAsia="Times New Roman" w:hAnsi="Times New Roman"/>
          <w:color w:val="000000"/>
          <w:sz w:val="20"/>
          <w:szCs w:val="20"/>
          <w:rtl w:val="0"/>
        </w:rPr>
        <w:t xml:space="preserve">128 credits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6" w:line="240" w:lineRule="auto"/>
        <w:ind w:left="1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GPA: </w:t>
      </w:r>
      <w:r w:rsidDel="00000000" w:rsidR="00000000" w:rsidRPr="00000000">
        <w:rPr>
          <w:rFonts w:ascii="Times New Roman" w:cs="Times New Roman" w:eastAsia="Times New Roman" w:hAnsi="Times New Roman"/>
          <w:color w:val="000000"/>
          <w:sz w:val="20"/>
          <w:szCs w:val="20"/>
          <w:rtl w:val="0"/>
        </w:rPr>
        <w:t xml:space="preserve">2.0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6" w:line="240" w:lineRule="auto"/>
        <w:ind w:left="19"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General Education courses</w:t>
      </w:r>
      <w:r w:rsidDel="00000000" w:rsidR="00000000" w:rsidRPr="00000000">
        <w:rPr>
          <w:rFonts w:ascii="Times New Roman" w:cs="Times New Roman" w:eastAsia="Times New Roman" w:hAnsi="Times New Roman"/>
          <w:sz w:val="24"/>
          <w:szCs w:val="24"/>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rFonts w:ascii="Times New Roman" w:cs="Times New Roman" w:eastAsia="Times New Roman" w:hAnsi="Times New Roman"/>
            <w:color w:val="1155cc"/>
            <w:sz w:val="24"/>
            <w:szCs w:val="24"/>
            <w:u w:val="single"/>
            <w:rtl w:val="0"/>
          </w:rPr>
          <w:t xml:space="preserve">General Education program requirements website in the College Catalog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 Inquiry (SOSC 110)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8">
      <w:pPr>
        <w:numPr>
          <w:ilvl w:val="1"/>
          <w:numId w:val="1"/>
        </w:numPr>
        <w:spacing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Scientific Reasoning</w:t>
      </w:r>
      <w:r w:rsidDel="00000000" w:rsidR="00000000" w:rsidRPr="00000000">
        <w:rPr>
          <w:rtl w:val="0"/>
        </w:rPr>
      </w:r>
    </w:p>
    <w:p w:rsidR="00000000" w:rsidDel="00000000" w:rsidP="00000000" w:rsidRDefault="00000000" w:rsidRPr="00000000" w14:paraId="000000D9">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Historical Perspectives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Studies in the Arts &amp; Humanities (</w:t>
      </w:r>
      <w:r w:rsidDel="00000000" w:rsidR="00000000" w:rsidRPr="00000000">
        <w:rPr>
          <w:rFonts w:ascii="Times New Roman" w:cs="Times New Roman" w:eastAsia="Times New Roman" w:hAnsi="Times New Roman"/>
          <w:i w:val="1"/>
          <w:iCs w:val="1"/>
          <w:sz w:val="20"/>
          <w:szCs w:val="20"/>
          <w:rtl w:val="0"/>
        </w:rPr>
        <w:t xml:space="preserve">CRWT 102 is a prerequisite to this course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spacing w:line="240" w:lineRule="auto"/>
        <w:ind w:left="1440" w:hanging="360"/>
        <w:rPr>
          <w:sz w:val="24"/>
          <w:szCs w:val="24"/>
        </w:rPr>
      </w:pPr>
      <w:r w:rsidDel="00000000" w:rsidR="00000000" w:rsidRPr="00000000">
        <w:rPr>
          <w:rFonts w:ascii="Times New Roman" w:cs="Times New Roman" w:eastAsia="Times New Roman" w:hAnsi="Times New Roman"/>
          <w:sz w:val="20"/>
          <w:szCs w:val="20"/>
          <w:rtl w:val="0"/>
        </w:rPr>
        <w:t xml:space="preserve">Global Awareness </w:t>
      </w:r>
      <w:r w:rsidDel="00000000" w:rsidR="00000000" w:rsidRPr="00000000">
        <w:rPr>
          <w:rFonts w:ascii="Times New Roman" w:cs="Times New Roman" w:eastAsia="Times New Roman" w:hAnsi="Times New Roman"/>
          <w:i w:val="1"/>
          <w:iCs w:val="1"/>
          <w:sz w:val="20"/>
          <w:szCs w:val="20"/>
          <w:rtl w:val="0"/>
        </w:rPr>
        <w:t xml:space="preserve">(LITR 203: Methods of Literary Study) [+W]</w:t>
      </w:r>
      <w:r w:rsidDel="00000000" w:rsidR="00000000" w:rsidRPr="00000000">
        <w:rPr>
          <w:rtl w:val="0"/>
        </w:rPr>
      </w:r>
    </w:p>
    <w:p w:rsidR="00000000" w:rsidDel="00000000" w:rsidP="00000000" w:rsidRDefault="00000000" w:rsidRPr="00000000" w14:paraId="000000DC">
      <w:pPr>
        <w:numPr>
          <w:ilvl w:val="1"/>
          <w:numId w:val="1"/>
        </w:numPr>
        <w:spacing w:line="240" w:lineRule="auto"/>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Distribution Category (Social Systems &amp; Society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Culture &amp; Creativity </w:t>
      </w:r>
      <w:r w:rsidDel="00000000" w:rsidR="00000000" w:rsidRPr="00000000">
        <w:rPr>
          <w:rFonts w:ascii="Times New Roman" w:cs="Times New Roman" w:eastAsia="Times New Roman" w:hAnsi="Times New Roman"/>
          <w:b w:val="1"/>
          <w:bCs w:val="1"/>
          <w:sz w:val="20"/>
          <w:szCs w:val="20"/>
          <w:rtl w:val="0"/>
        </w:rPr>
        <w:t xml:space="preserve">OR</w:t>
      </w:r>
      <w:r w:rsidDel="00000000" w:rsidR="00000000" w:rsidRPr="00000000">
        <w:rPr>
          <w:rFonts w:ascii="Times New Roman" w:cs="Times New Roman" w:eastAsia="Times New Roman" w:hAnsi="Times New Roman"/>
          <w:sz w:val="20"/>
          <w:szCs w:val="20"/>
          <w:rtl w:val="0"/>
        </w:rPr>
        <w:t xml:space="preserve"> Values and Ethics)</w:t>
      </w:r>
      <w:r w:rsidDel="00000000" w:rsidR="00000000" w:rsidRPr="00000000">
        <w:rPr>
          <w:rtl w:val="0"/>
        </w:rPr>
      </w:r>
    </w:p>
    <w:p w:rsidR="00000000" w:rsidDel="00000000" w:rsidP="00000000" w:rsidRDefault="00000000" w:rsidRPr="00000000" w14:paraId="000000DD">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Category (Culture &amp; Creativity: </w:t>
      </w:r>
      <w:r w:rsidDel="00000000" w:rsidR="00000000" w:rsidRPr="00000000">
        <w:rPr>
          <w:rFonts w:ascii="Times New Roman" w:cs="Times New Roman" w:eastAsia="Times New Roman" w:hAnsi="Times New Roman"/>
          <w:i w:val="1"/>
          <w:iCs w:val="1"/>
          <w:sz w:val="20"/>
          <w:szCs w:val="20"/>
          <w:rtl w:val="0"/>
        </w:rPr>
        <w:t xml:space="preserve">(Consider LITR 220, 221, 224, 244,  245, 280, 284, 292, 293, 295, or 308 to fulfill a  LITR requirement</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DE">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246"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At least three (3) courses in the major must be at the 300-level.</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246" w:line="240" w:lineRule="auto"/>
        <w:ind w:left="1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May Double Count in General Education and Major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246" w:line="240" w:lineRule="auto"/>
        <w:ind w:left="2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*If Needed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246" w:line="479" w:lineRule="auto"/>
        <w:ind w:left="13" w:right="1171" w:firstLine="21.000000000000007"/>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i w:val="1"/>
          <w:iCs w:val="1"/>
          <w:color w:val="000000"/>
          <w:sz w:val="20"/>
          <w:szCs w:val="20"/>
          <w:rtl w:val="0"/>
        </w:rPr>
        <w:t xml:space="preserve">With </w:t>
      </w:r>
      <w:r w:rsidDel="00000000" w:rsidR="00000000" w:rsidRPr="00000000">
        <w:rPr>
          <w:rFonts w:ascii="Times New Roman" w:cs="Times New Roman" w:eastAsia="Times New Roman" w:hAnsi="Times New Roman"/>
          <w:b w:val="1"/>
          <w:bCs w:val="1"/>
          <w:i w:val="1"/>
          <w:iCs w:val="1"/>
          <w:sz w:val="20"/>
          <w:szCs w:val="20"/>
          <w:rtl w:val="0"/>
        </w:rPr>
        <w:t xml:space="preserve">11</w:t>
      </w:r>
      <w:r w:rsidDel="00000000" w:rsidR="00000000" w:rsidRPr="00000000">
        <w:rPr>
          <w:rFonts w:ascii="Times New Roman" w:cs="Times New Roman" w:eastAsia="Times New Roman" w:hAnsi="Times New Roman"/>
          <w:b w:val="1"/>
          <w:bCs w:val="1"/>
          <w:i w:val="1"/>
          <w:iCs w:val="1"/>
          <w:color w:val="000000"/>
          <w:sz w:val="20"/>
          <w:szCs w:val="20"/>
          <w:rtl w:val="0"/>
        </w:rPr>
        <w:t xml:space="preserve"> elective courses, students may consider: double major, minor or Teacher Education Certification program. </w:t>
      </w:r>
      <w:r w:rsidDel="00000000" w:rsidR="00000000" w:rsidRPr="00000000">
        <w:rPr>
          <w:rFonts w:ascii="Times New Roman" w:cs="Times New Roman" w:eastAsia="Times New Roman" w:hAnsi="Times New Roman"/>
          <w:color w:val="000000"/>
          <w:sz w:val="20"/>
          <w:szCs w:val="20"/>
          <w:rtl w:val="0"/>
        </w:rPr>
        <w:t xml:space="preserve">WI- Writing intensive courses needed prior to graduation</w:t>
      </w:r>
    </w:p>
    <w:sectPr>
      <w:pgSz w:h="15840" w:w="12240" w:orient="portrait"/>
      <w:pgMar w:bottom="560" w:top="355" w:left="852" w:right="87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vwfBCHziChhrWbKyIcgC6yj4B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jN5cWs0NmY2NXdlZDgAciExaXRVXzdyRjJGSTlvdHlXd1BJNmcwWWxYZ3MxUkpOa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2024-06-12T14:00:00Z</dcterms:created>
</cp:coreProperties>
</file>