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9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698"/>
        <w:tblGridChange w:id="0">
          <w:tblGrid>
            <w:gridCol w:w="5246"/>
            <w:gridCol w:w="5698"/>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School of Social Science and Human Services</w:t>
            </w:r>
          </w:p>
        </w:tc>
      </w:tr>
    </w:tbl>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Sustainability</w:t>
      </w:r>
    </w:p>
    <w:p w:rsidR="00000000" w:rsidDel="00000000" w:rsidP="00000000" w:rsidRDefault="00000000" w:rsidRPr="00000000" w14:paraId="00000007">
      <w:pPr>
        <w:rPr>
          <w:sz w:val="20"/>
          <w:szCs w:val="20"/>
        </w:rPr>
      </w:pPr>
      <w:r w:rsidDel="00000000" w:rsidR="00000000" w:rsidRPr="00000000">
        <w:rPr>
          <w:sz w:val="20"/>
          <w:szCs w:val="20"/>
          <w:rtl w:val="0"/>
        </w:rPr>
        <w:t xml:space="preserve">Recommended Graduation Plan (Fall 2025)</w:t>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w:t>
      </w:r>
      <w:r w:rsidDel="00000000" w:rsidR="00000000" w:rsidRPr="00000000">
        <w:rPr>
          <w:b w:val="1"/>
          <w:sz w:val="20"/>
          <w:szCs w:val="20"/>
          <w:rtl w:val="0"/>
        </w:rPr>
        <w:t xml:space="preserve">Students must meet very early with their Academic Advisor if they intend to take one or more Minors, or a second Major,  to develop a more individualized plan to complete their degree.</w:t>
      </w:r>
      <w:r w:rsidDel="00000000" w:rsidR="00000000" w:rsidRPr="00000000">
        <w:rPr>
          <w:sz w:val="20"/>
          <w:szCs w:val="20"/>
          <w:rtl w:val="0"/>
        </w:rPr>
        <w:t xml:space="preserve"> </w:t>
      </w:r>
      <w:r w:rsidDel="00000000" w:rsidR="00000000" w:rsidRPr="00000000">
        <w:rPr>
          <w:b w:val="1"/>
          <w:color w:val="000000"/>
          <w:sz w:val="20"/>
          <w:szCs w:val="20"/>
          <w:rtl w:val="0"/>
        </w:rPr>
        <w:t xml:space="preserve">Every course in this plan is placed with thought.  You will be best served if you either follow this plan or work closely with the Convenor before making any adjustments.</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sz w:val="8"/>
          <w:szCs w:val="8"/>
        </w:rPr>
      </w:pPr>
      <w:r w:rsidDel="00000000" w:rsidR="00000000" w:rsidRPr="00000000">
        <w:rPr>
          <w:rtl w:val="0"/>
        </w:rPr>
      </w:r>
    </w:p>
    <w:tbl>
      <w:tblPr>
        <w:tblStyle w:val="Table3"/>
        <w:tblW w:w="108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795"/>
        <w:gridCol w:w="555"/>
        <w:gridCol w:w="3990"/>
        <w:gridCol w:w="825"/>
        <w:gridCol w:w="525"/>
        <w:tblGridChange w:id="0">
          <w:tblGrid>
            <w:gridCol w:w="4185"/>
            <w:gridCol w:w="795"/>
            <w:gridCol w:w="555"/>
            <w:gridCol w:w="3990"/>
            <w:gridCol w:w="825"/>
            <w:gridCol w:w="525"/>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First Year</w:t>
            </w:r>
          </w:p>
        </w:tc>
      </w:tr>
      <w:tr>
        <w:trPr>
          <w:cantSplit w:val="0"/>
          <w:trHeight w:val="300" w:hRule="atLeast"/>
          <w:tblHeader w:val="0"/>
        </w:trPr>
        <w:tc>
          <w:tcPr>
            <w:shd w:fill="e6e6e6" w:val="clear"/>
          </w:tcPr>
          <w:p w:rsidR="00000000" w:rsidDel="00000000" w:rsidP="00000000" w:rsidRDefault="00000000" w:rsidRPr="00000000" w14:paraId="0000001E">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1F">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0">
            <w:pPr>
              <w:jc w:val="center"/>
              <w:rPr>
                <w:b w:val="1"/>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22">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3">
            <w:pPr>
              <w:jc w:val="center"/>
              <w:rPr>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color w:val="000000"/>
                <w:sz w:val="20"/>
                <w:szCs w:val="20"/>
                <w:rtl w:val="0"/>
              </w:rPr>
              <w:t xml:space="preserve">Gen Ed: Quantitative Reasoning</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A">
            <w:pPr>
              <w:rPr>
                <w:b w:val="1"/>
                <w:sz w:val="20"/>
                <w:szCs w:val="20"/>
              </w:rPr>
            </w:pPr>
            <w:r w:rsidDel="00000000" w:rsidR="00000000" w:rsidRPr="00000000">
              <w:rPr>
                <w:sz w:val="20"/>
                <w:szCs w:val="20"/>
                <w:rtl w:val="0"/>
              </w:rPr>
              <w:t xml:space="preserve">Gen Ed: CRWT 102-Critical Reading &amp; Writing</w:t>
            </w:r>
            <w:r w:rsidDel="00000000" w:rsidR="00000000" w:rsidRPr="00000000">
              <w:rPr>
                <w:rtl w:val="0"/>
              </w:rPr>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Scientific Reasoning-ENSC 103, Intro to Environmental Science (Recommended)</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Intro Course Outside the Major - LAWS 131, (OR) SOCI 101 (OR), PSYC 101, (OR) EDUC 221</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b w:val="1"/>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shd w:fill="ffffff" w:val="clear"/>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Career Pathways Module 1</w:t>
            </w:r>
            <w:r w:rsidDel="00000000" w:rsidR="00000000" w:rsidRPr="00000000">
              <w:rPr>
                <w:sz w:val="20"/>
                <w:szCs w:val="20"/>
                <w:rtl w:val="0"/>
              </w:rPr>
              <w:t xml:space="preserve">: PATH SS1 - Career Assessment/Advisor Visit SSHS Advisor in Cahill Center (C209)</w:t>
            </w:r>
          </w:p>
        </w:tc>
        <w:tc>
          <w:tcPr>
            <w:shd w:fill="ffffff" w:val="clear"/>
          </w:tcPr>
          <w:p w:rsidR="00000000" w:rsidDel="00000000" w:rsidP="00000000" w:rsidRDefault="00000000" w:rsidRPr="00000000" w14:paraId="00000040">
            <w:pPr>
              <w:jc w:val="center"/>
              <w:rPr/>
            </w:pPr>
            <w:r w:rsidDel="00000000" w:rsidR="00000000" w:rsidRPr="00000000">
              <w:rPr>
                <w:sz w:val="20"/>
                <w:szCs w:val="20"/>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b w:val="1"/>
              </w:rPr>
            </w:pPr>
            <w:r w:rsidDel="00000000" w:rsidR="00000000" w:rsidRPr="00000000">
              <w:rPr>
                <w:b w:val="1"/>
                <w:rtl w:val="0"/>
              </w:rPr>
              <w:t xml:space="preserve">Total:</w:t>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b w:val="1"/>
              </w:rPr>
            </w:pPr>
            <w:r w:rsidDel="00000000" w:rsidR="00000000" w:rsidRPr="00000000">
              <w:rPr>
                <w:b w:val="1"/>
                <w:rtl w:val="0"/>
              </w:rPr>
              <w:t xml:space="preserve">Total:</w:t>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b w:val="1"/>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b w:val="1"/>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b w:val="1"/>
              </w:rPr>
            </w:pPr>
            <w:r w:rsidDel="00000000" w:rsidR="00000000" w:rsidRPr="00000000">
              <w:rPr>
                <w:b w:val="1"/>
                <w:rtl w:val="0"/>
              </w:rPr>
              <w:t xml:space="preserve">Fall Semester</w:t>
            </w:r>
          </w:p>
        </w:tc>
        <w:tc>
          <w:tcPr>
            <w:shd w:fill="e0e0e0" w:val="clear"/>
          </w:tcPr>
          <w:p w:rsidR="00000000" w:rsidDel="00000000" w:rsidP="00000000" w:rsidRDefault="00000000" w:rsidRPr="00000000" w14:paraId="00000050">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1">
            <w:pPr>
              <w:jc w:val="center"/>
              <w:rPr>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b w:val="1"/>
              </w:rPr>
            </w:pPr>
            <w:r w:rsidDel="00000000" w:rsidR="00000000" w:rsidRPr="00000000">
              <w:rPr>
                <w:b w:val="1"/>
                <w:rtl w:val="0"/>
              </w:rPr>
              <w:t xml:space="preserve">Spring Semester</w:t>
            </w:r>
          </w:p>
        </w:tc>
        <w:tc>
          <w:tcPr>
            <w:shd w:fill="e0e0e0" w:val="clear"/>
          </w:tcPr>
          <w:p w:rsidR="00000000" w:rsidDel="00000000" w:rsidP="00000000" w:rsidRDefault="00000000" w:rsidRPr="00000000" w14:paraId="00000053">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4">
            <w:pPr>
              <w:jc w:val="center"/>
              <w:rPr>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 Ed: Values and Ethics-SUST 210 Business and Sustainability</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Major: SUST 310-Foundational Integrative Seminar</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Major: ENST 223 Energy and Society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b w:val="1"/>
                <w:sz w:val="20"/>
                <w:szCs w:val="20"/>
              </w:rPr>
            </w:pPr>
            <w:r w:rsidDel="00000000" w:rsidR="00000000" w:rsidRPr="00000000">
              <w:rPr>
                <w:color w:val="000000"/>
                <w:sz w:val="20"/>
                <w:szCs w:val="20"/>
                <w:rtl w:val="0"/>
              </w:rPr>
              <w:t xml:space="preserve">SOSC 235: History of Social Thought</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ENSC 230: Sustainable Natural Resources</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Major: One Disciplinary Cluster Course</w:t>
            </w:r>
            <w:r w:rsidDel="00000000" w:rsidR="00000000" w:rsidRPr="00000000">
              <w:rPr>
                <w:color w:val="ff0000"/>
                <w:sz w:val="20"/>
                <w:szCs w:val="20"/>
                <w:rtl w:val="0"/>
              </w:rPr>
              <w:t xml:space="preserve"> </w:t>
            </w:r>
            <w:r w:rsidDel="00000000" w:rsidR="00000000" w:rsidRPr="00000000">
              <w:rPr>
                <w:sz w:val="20"/>
                <w:szCs w:val="20"/>
                <w:rtl w:val="0"/>
              </w:rPr>
              <w:t xml:space="preserve">(1st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6D">
            <w:pPr>
              <w:rPr>
                <w:sz w:val="20"/>
                <w:szCs w:val="20"/>
              </w:rPr>
            </w:pPr>
            <w:r w:rsidDel="00000000" w:rsidR="00000000" w:rsidRPr="00000000">
              <w:rPr>
                <w:b w:val="1"/>
                <w:sz w:val="20"/>
                <w:szCs w:val="20"/>
                <w:rtl w:val="0"/>
              </w:rPr>
              <w:t xml:space="preserve">Career Pathways Module 2</w:t>
            </w:r>
            <w:r w:rsidDel="00000000" w:rsidR="00000000" w:rsidRPr="00000000">
              <w:rPr>
                <w:sz w:val="20"/>
                <w:szCs w:val="20"/>
                <w:rtl w:val="0"/>
              </w:rPr>
              <w:t xml:space="preserve">: PATH SS2 -  Resume/Cover Letter/Personal Statement Visit SSHS Advisor in Cahill Center (C209)</w:t>
            </w:r>
          </w:p>
        </w:tc>
        <w:tc>
          <w:tcPr/>
          <w:p w:rsidR="00000000" w:rsidDel="00000000" w:rsidP="00000000" w:rsidRDefault="00000000" w:rsidRPr="00000000" w14:paraId="0000006E">
            <w:pPr>
              <w:jc w:val="center"/>
              <w:rPr/>
            </w:pPr>
            <w:r w:rsidDel="00000000" w:rsidR="00000000" w:rsidRPr="00000000">
              <w:rPr>
                <w:sz w:val="20"/>
                <w:szCs w:val="20"/>
                <w:rtl w:val="0"/>
              </w:rPr>
              <w:t xml:space="preserve">Degree</w:t>
            </w:r>
            <w:r w:rsidDel="00000000" w:rsidR="00000000" w:rsidRPr="00000000">
              <w:rPr>
                <w:rtl w:val="0"/>
              </w:rPr>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b w:val="1"/>
                <w:sz w:val="20"/>
                <w:szCs w:val="20"/>
                <w:rtl w:val="0"/>
              </w:rPr>
              <w:t xml:space="preserve">Career Pathways Module 3</w:t>
            </w:r>
            <w:r w:rsidDel="00000000" w:rsidR="00000000" w:rsidRPr="00000000">
              <w:rPr>
                <w:sz w:val="20"/>
                <w:szCs w:val="20"/>
                <w:rtl w:val="0"/>
              </w:rPr>
              <w:t xml:space="preserve">: PATH SS3 - Interview Practice/Internship Search Visit SSHS Advisor in Cahill Center (C209)</w:t>
            </w:r>
          </w:p>
        </w:tc>
        <w:tc>
          <w:tcPr/>
          <w:p w:rsidR="00000000" w:rsidDel="00000000" w:rsidP="00000000" w:rsidRDefault="00000000" w:rsidRPr="00000000" w14:paraId="00000071">
            <w:pPr>
              <w:jc w:val="center"/>
              <w:rPr/>
            </w:pPr>
            <w:r w:rsidDel="00000000" w:rsidR="00000000" w:rsidRPr="00000000">
              <w:rPr>
                <w:sz w:val="20"/>
                <w:szCs w:val="20"/>
                <w:rtl w:val="0"/>
              </w:rPr>
              <w:t xml:space="preserve">DegreeGrad. Rqmt</w:t>
            </w:r>
            <w:r w:rsidDel="00000000" w:rsidR="00000000" w:rsidRPr="00000000">
              <w:rPr>
                <w:rtl w:val="0"/>
              </w:rPr>
              <w:t xml:space="preserve">.</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b w:val="1"/>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A">
            <w:pPr>
              <w:jc w:val="center"/>
              <w:rPr>
                <w:b w:val="1"/>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0">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81">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2">
            <w:pPr>
              <w:jc w:val="center"/>
              <w:rPr>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84">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85">
            <w:pPr>
              <w:jc w:val="center"/>
              <w:rPr>
                <w:b w:val="1"/>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Major: SUST 315-Sustainability Leadership or MGMT 302 Organizational Behavior</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b w:val="1"/>
                <w:sz w:val="20"/>
                <w:szCs w:val="20"/>
              </w:rPr>
            </w:pPr>
            <w:r w:rsidDel="00000000" w:rsidR="00000000" w:rsidRPr="00000000">
              <w:rPr>
                <w:b w:val="1"/>
                <w:color w:val="000000"/>
                <w:sz w:val="20"/>
                <w:szCs w:val="20"/>
                <w:rtl w:val="0"/>
              </w:rPr>
              <w:t xml:space="preserve">Major: ENST 317 – Environmental Policy</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Major: Disciplinary Cluster Course </w:t>
            </w:r>
          </w:p>
          <w:p w:rsidR="00000000" w:rsidDel="00000000" w:rsidP="00000000" w:rsidRDefault="00000000" w:rsidRPr="00000000" w14:paraId="0000008D">
            <w:pPr>
              <w:rPr>
                <w:sz w:val="20"/>
                <w:szCs w:val="20"/>
              </w:rPr>
            </w:pPr>
            <w:r w:rsidDel="00000000" w:rsidR="00000000" w:rsidRPr="00000000">
              <w:rPr>
                <w:sz w:val="20"/>
                <w:szCs w:val="20"/>
                <w:rtl w:val="0"/>
              </w:rPr>
              <w:t xml:space="preserve">(2nd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Major: Disciplinary Cluster Course (Use your  (3rd course for your 1st Minor here, or count toward your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3">
            <w:pPr>
              <w:rPr>
                <w:b w:val="1"/>
                <w:sz w:val="20"/>
                <w:szCs w:val="20"/>
              </w:rPr>
            </w:pPr>
            <w:r w:rsidDel="00000000" w:rsidR="00000000" w:rsidRPr="00000000">
              <w:rPr>
                <w:b w:val="1"/>
                <w:sz w:val="20"/>
                <w:szCs w:val="20"/>
                <w:rtl w:val="0"/>
              </w:rPr>
              <w:t xml:space="preserve">Major: SUST 320-Methods in Sustainability/</w:t>
            </w:r>
            <w:r w:rsidDel="00000000" w:rsidR="00000000" w:rsidRPr="00000000">
              <w:rPr>
                <w:b w:val="1"/>
                <w:color w:val="000000"/>
                <w:sz w:val="20"/>
                <w:szCs w:val="20"/>
                <w:rtl w:val="0"/>
              </w:rPr>
              <w:t xml:space="preserve">SOCI 307: Methods with Computers</w:t>
            </w:r>
            <w:r w:rsidDel="00000000" w:rsidR="00000000" w:rsidRPr="00000000">
              <w:rPr>
                <w:rtl w:val="0"/>
              </w:rPr>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b w:val="1"/>
          <w:sz w:val="2"/>
          <w:szCs w:val="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6">
            <w:pPr>
              <w:jc w:val="center"/>
              <w:rPr>
                <w:b w:val="1"/>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AC">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AD">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AE">
            <w:pPr>
              <w:jc w:val="center"/>
              <w:rPr>
                <w:b w:val="1"/>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B0">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B1">
            <w:pPr>
              <w:jc w:val="center"/>
              <w:rPr>
                <w:b w:val="1"/>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Major: SUST 410-Pre Capstone Advanced Seminar</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Major: SUST 420-Final Capstone Course</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rtl w:val="0"/>
        </w:rPr>
        <w:t xml:space="preserve">Note: Only two GenEd courses can double count in the School Core and major.</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i w:val="1"/>
          <w:sz w:val="20"/>
          <w:szCs w:val="20"/>
          <w:rtl w:val="0"/>
        </w:rPr>
        <w:t xml:space="preserve"> (ENSC 103, Intro to Environmental Science)</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(ENST 209: World Sustainability) [+W]</w:t>
      </w:r>
      <w:r w:rsidDel="00000000" w:rsidR="00000000" w:rsidRPr="00000000">
        <w:rPr>
          <w:rtl w:val="0"/>
        </w:rPr>
      </w:r>
    </w:p>
    <w:p w:rsidR="00000000" w:rsidDel="00000000" w:rsidP="00000000" w:rsidRDefault="00000000" w:rsidRPr="00000000" w14:paraId="000000DE">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Distribution Category (Values &amp; Ethics) (SUST 210)</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JKqIgde9GMlBjaSWwjDtl+I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yNVV1TDAwbGxYOTl0ZmdXWGI5SUszQnJIREZEUHU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2023-06-14T17:44:00Z</dcterms:created>
  <dc:creator>Megan Greer</dc:creator>
</cp:coreProperties>
</file>