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4">
            <w:pPr>
              <w:rPr>
                <w:vertAlign w:val="baseline"/>
              </w:rPr>
            </w:pPr>
            <w:r w:rsidDel="00000000" w:rsidR="00000000" w:rsidRPr="00000000">
              <w:rPr>
                <w:rtl w:val="0"/>
              </w:rPr>
            </w:r>
          </w:p>
        </w:tc>
        <w:tc>
          <w:tcPr>
            <w:vAlign w:val="top"/>
          </w:tcPr>
          <w:p w:rsidR="00000000" w:rsidDel="00000000" w:rsidP="00000000" w:rsidRDefault="00000000" w:rsidRPr="00000000" w14:paraId="00000005">
            <w:pPr>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6">
      <w:pPr>
        <w:rPr>
          <w:b w:val="0"/>
          <w:sz w:val="28"/>
          <w:szCs w:val="28"/>
          <w:vertAlign w:val="baseline"/>
        </w:rPr>
      </w:pPr>
      <w:r w:rsidDel="00000000" w:rsidR="00000000" w:rsidRPr="00000000">
        <w:rPr>
          <w:rtl w:val="0"/>
        </w:rPr>
      </w:r>
    </w:p>
    <w:p w:rsidR="00000000" w:rsidDel="00000000" w:rsidP="00000000" w:rsidRDefault="00000000" w:rsidRPr="00000000" w14:paraId="00000007">
      <w:pPr>
        <w:rPr>
          <w:b w:val="0"/>
          <w:sz w:val="28"/>
          <w:szCs w:val="28"/>
          <w:vertAlign w:val="baseline"/>
        </w:rPr>
      </w:pPr>
      <w:r w:rsidDel="00000000" w:rsidR="00000000" w:rsidRPr="00000000">
        <w:rPr>
          <w:b w:val="1"/>
          <w:sz w:val="28"/>
          <w:szCs w:val="28"/>
          <w:vertAlign w:val="baseline"/>
          <w:rtl w:val="0"/>
        </w:rPr>
        <w:t xml:space="preserve">English and Literary Studies</w:t>
      </w:r>
      <w:r w:rsidDel="00000000" w:rsidR="00000000" w:rsidRPr="00000000">
        <w:rPr>
          <w:rtl w:val="0"/>
        </w:rPr>
      </w:r>
    </w:p>
    <w:p w:rsidR="00000000" w:rsidDel="00000000" w:rsidP="00000000" w:rsidRDefault="00000000" w:rsidRPr="00000000" w14:paraId="00000008">
      <w:pPr>
        <w:rPr>
          <w:sz w:val="8"/>
          <w:szCs w:val="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A">
      <w:pPr>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p>
    <w:p w:rsidR="00000000" w:rsidDel="00000000" w:rsidP="00000000" w:rsidRDefault="00000000" w:rsidRPr="00000000" w14:paraId="0000000B">
      <w:pPr>
        <w:rPr>
          <w:sz w:val="16"/>
          <w:szCs w:val="16"/>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C">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jc w:val="center"/>
              <w:rPr>
                <w:b w:val="0"/>
                <w:vertAlign w:val="baseline"/>
              </w:rPr>
            </w:pPr>
            <w:sdt>
              <w:sdtPr>
                <w:tag w:val="goog_rdk_0"/>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7">
            <w:pPr>
              <w:jc w:val="center"/>
              <w:rP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19">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1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Major: Early Literature in English</w:t>
            </w:r>
          </w:p>
        </w:tc>
        <w:tc>
          <w:tcPr>
            <w:vAlign w:val="top"/>
          </w:tcPr>
          <w:p w:rsidR="00000000" w:rsidDel="00000000" w:rsidP="00000000" w:rsidRDefault="00000000" w:rsidRPr="00000000" w14:paraId="0000001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Gen Ed: CRWT 102-Critical Reading &amp; Writing II</w:t>
            </w:r>
          </w:p>
        </w:tc>
        <w:tc>
          <w:tcPr>
            <w:vAlign w:val="top"/>
          </w:tcPr>
          <w:p w:rsidR="00000000" w:rsidDel="00000000" w:rsidP="00000000" w:rsidRDefault="00000000" w:rsidRPr="00000000" w14:paraId="0000001F">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0">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vAlign w:val="top"/>
          </w:tcPr>
          <w:p w:rsidR="00000000" w:rsidDel="00000000" w:rsidP="00000000" w:rsidRDefault="00000000" w:rsidRPr="00000000" w14:paraId="0000002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3">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Major: LITR 203-Methods of Literary Study WI</w:t>
            </w:r>
          </w:p>
        </w:tc>
        <w:tc>
          <w:tcPr>
            <w:vAlign w:val="top"/>
          </w:tcPr>
          <w:p w:rsidR="00000000" w:rsidDel="00000000" w:rsidP="00000000" w:rsidRDefault="00000000" w:rsidRPr="00000000" w14:paraId="00000025">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Gen Ed: Historical Perspectives</w:t>
            </w:r>
          </w:p>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LITR 101-Story of Literature (recommended to fulfill a LITR elective)</w:t>
            </w:r>
          </w:p>
        </w:tc>
        <w:tc>
          <w:tcPr>
            <w:vAlign w:val="top"/>
          </w:tcPr>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A">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Gen Ed: Quantitative Reasoning</w:t>
            </w:r>
          </w:p>
        </w:tc>
        <w:tc>
          <w:tcPr>
            <w:vAlign w:val="top"/>
          </w:tcPr>
          <w:p w:rsidR="00000000" w:rsidDel="00000000" w:rsidP="00000000" w:rsidRDefault="00000000" w:rsidRPr="00000000" w14:paraId="0000002C">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D">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F">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0">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31">
            <w:pPr>
              <w:rPr>
                <w:sz w:val="20"/>
                <w:szCs w:val="20"/>
                <w:vertAlign w:val="baseline"/>
              </w:rPr>
            </w:pPr>
            <w:r w:rsidDel="00000000" w:rsidR="00000000" w:rsidRPr="00000000">
              <w:rPr>
                <w:sz w:val="20"/>
                <w:szCs w:val="20"/>
                <w:rtl w:val="0"/>
              </w:rPr>
              <w:t xml:space="preserve">Career Pathways: PATH HG1 - Career Pathways Module 1</w:t>
            </w:r>
            <w:r w:rsidDel="00000000" w:rsidR="00000000" w:rsidRPr="00000000">
              <w:rPr>
                <w:rtl w:val="0"/>
              </w:rPr>
            </w:r>
          </w:p>
        </w:tc>
        <w:tc>
          <w:tcPr>
            <w:vAlign w:val="top"/>
          </w:tcPr>
          <w:p w:rsidR="00000000" w:rsidDel="00000000" w:rsidP="00000000" w:rsidRDefault="00000000" w:rsidRPr="00000000" w14:paraId="00000032">
            <w:pPr>
              <w:jc w:val="center"/>
              <w:rPr>
                <w:b w:val="1"/>
                <w:sz w:val="20"/>
                <w:szCs w:val="20"/>
                <w:vertAlign w:val="baseline"/>
              </w:rPr>
            </w:pPr>
            <w:r w:rsidDel="00000000" w:rsidR="00000000" w:rsidRPr="00000000">
              <w:rPr>
                <w:b w:val="1"/>
                <w:sz w:val="20"/>
                <w:szCs w:val="20"/>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jc w:val="cente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7">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8">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9">
            <w:pPr>
              <w:rPr>
                <w:vertAlign w:val="baseline"/>
              </w:rPr>
            </w:pPr>
            <w:r w:rsidDel="00000000" w:rsidR="00000000" w:rsidRPr="00000000">
              <w:rPr>
                <w:rtl w:val="0"/>
              </w:rPr>
            </w:r>
          </w:p>
        </w:tc>
        <w:tc>
          <w:tcPr>
            <w:vAlign w:val="top"/>
          </w:tcPr>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B">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C">
            <w:pPr>
              <w:rPr>
                <w:vertAlign w:val="baseline"/>
              </w:rPr>
            </w:pPr>
            <w:r w:rsidDel="00000000" w:rsidR="00000000" w:rsidRPr="00000000">
              <w:rPr>
                <w:rtl w:val="0"/>
              </w:rPr>
            </w:r>
          </w:p>
        </w:tc>
      </w:tr>
    </w:tbl>
    <w:p w:rsidR="00000000" w:rsidDel="00000000" w:rsidP="00000000" w:rsidRDefault="00000000" w:rsidRPr="00000000" w14:paraId="0000003D">
      <w:pPr>
        <w:rPr>
          <w:b w:val="0"/>
          <w:sz w:val="20"/>
          <w:szCs w:val="20"/>
          <w:vertAlign w:val="baseline"/>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E">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6">
            <w:pPr>
              <w:jc w:val="center"/>
              <w:rPr>
                <w:b w:val="0"/>
                <w:vertAlign w:val="baseline"/>
              </w:rPr>
            </w:pPr>
            <w:sdt>
              <w:sdtPr>
                <w:tag w:val="goog_rdk_2"/>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0e0e0" w:val="clear"/>
            <w:vAlign w:val="top"/>
          </w:tcPr>
          <w:p w:rsidR="00000000" w:rsidDel="00000000" w:rsidP="00000000" w:rsidRDefault="00000000" w:rsidRPr="00000000" w14:paraId="00000047">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8">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9">
            <w:pPr>
              <w:jc w:val="center"/>
              <w:rPr>
                <w:b w:val="0"/>
                <w:vertAlign w:val="baseline"/>
              </w:rPr>
            </w:pPr>
            <w:sdt>
              <w:sdtPr>
                <w:tag w:val="goog_rdk_3"/>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School Core: Language I* or Elective </w:t>
            </w:r>
          </w:p>
        </w:tc>
        <w:tc>
          <w:tcPr>
            <w:shd w:fill="ffffff" w:val="clear"/>
            <w:vAlign w:val="top"/>
          </w:tcPr>
          <w:p w:rsidR="00000000" w:rsidDel="00000000" w:rsidP="00000000" w:rsidRDefault="00000000" w:rsidRPr="00000000" w14:paraId="0000004B">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4C">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D">
            <w:pPr>
              <w:rPr>
                <w:sz w:val="20"/>
                <w:szCs w:val="20"/>
                <w:vertAlign w:val="baseline"/>
              </w:rPr>
            </w:pPr>
            <w:r w:rsidDel="00000000" w:rsidR="00000000" w:rsidRPr="00000000">
              <w:rPr>
                <w:sz w:val="20"/>
                <w:szCs w:val="20"/>
                <w:vertAlign w:val="baseline"/>
                <w:rtl w:val="0"/>
              </w:rPr>
              <w:t xml:space="preserve">School Core: Language II* or Elective</w:t>
            </w:r>
          </w:p>
        </w:tc>
        <w:tc>
          <w:tcPr>
            <w:shd w:fill="ffffff" w:val="clear"/>
            <w:vAlign w:val="top"/>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F">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^Gen Ed: Culture and Creativity </w:t>
            </w:r>
          </w:p>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Consider LITR 220, 221, 224, 244, 245, 280, 284, 292, 293, 295, or 308 to fulfill a LITR requirement) </w:t>
            </w:r>
            <w:r w:rsidDel="00000000" w:rsidR="00000000" w:rsidRPr="00000000">
              <w:rPr>
                <w:rtl w:val="0"/>
              </w:rPr>
            </w:r>
          </w:p>
        </w:tc>
        <w:tc>
          <w:tcPr>
            <w:shd w:fill="ffffff" w:val="clear"/>
            <w:vAlign w:val="top"/>
          </w:tcPr>
          <w:p w:rsidR="00000000" w:rsidDel="00000000" w:rsidP="00000000" w:rsidRDefault="00000000" w:rsidRPr="00000000" w14:paraId="00000052">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3">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6">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Major: Diverse Perspectives</w:t>
            </w:r>
          </w:p>
        </w:tc>
        <w:tc>
          <w:tcPr>
            <w:shd w:fill="ffffff" w:val="clear"/>
            <w:vAlign w:val="top"/>
          </w:tcPr>
          <w:p w:rsidR="00000000" w:rsidDel="00000000" w:rsidP="00000000" w:rsidRDefault="00000000" w:rsidRPr="00000000" w14:paraId="00000058">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9">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^Major: Early Literature in English </w:t>
            </w:r>
            <w:r w:rsidDel="00000000" w:rsidR="00000000" w:rsidRPr="00000000">
              <w:rPr>
                <w:color w:val="000000"/>
                <w:sz w:val="20"/>
                <w:szCs w:val="20"/>
                <w:vertAlign w:val="baseline"/>
                <w:rtl w:val="0"/>
              </w:rPr>
              <w:t xml:space="preserve">(</w:t>
            </w:r>
            <w:r w:rsidDel="00000000" w:rsidR="00000000" w:rsidRPr="00000000">
              <w:rPr>
                <w:b w:val="1"/>
                <w:sz w:val="20"/>
                <w:szCs w:val="20"/>
                <w:vertAlign w:val="baseline"/>
                <w:rtl w:val="0"/>
              </w:rPr>
              <w:t xml:space="preserve">Consider LITR 244 to fulfill GE Culture/Creativity</w:t>
            </w:r>
            <w:r w:rsidDel="00000000" w:rsidR="00000000" w:rsidRPr="00000000">
              <w:rPr>
                <w:color w:val="000000"/>
                <w:sz w:val="20"/>
                <w:szCs w:val="20"/>
                <w:vertAlign w:val="baseline"/>
                <w:rtl w:val="0"/>
              </w:rPr>
              <w:t xml:space="preserve">)</w:t>
            </w:r>
            <w:r w:rsidDel="00000000" w:rsidR="00000000" w:rsidRPr="00000000">
              <w:rPr>
                <w:rtl w:val="0"/>
              </w:rPr>
            </w:r>
          </w:p>
        </w:tc>
        <w:tc>
          <w:tcPr>
            <w:shd w:fill="ffffff" w:val="clear"/>
            <w:vAlign w:val="top"/>
          </w:tcPr>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C">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Major: Global Perspectives</w:t>
            </w:r>
          </w:p>
        </w:tc>
        <w:tc>
          <w:tcPr>
            <w:shd w:fill="ffffff" w:val="clear"/>
            <w:vAlign w:val="top"/>
          </w:tcPr>
          <w:p w:rsidR="00000000" w:rsidDel="00000000" w:rsidP="00000000" w:rsidRDefault="00000000" w:rsidRPr="00000000" w14:paraId="0000005E">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F">
            <w:pPr>
              <w:rPr>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2">
            <w:pPr>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HG2 - Career Pathways Module 2</w:t>
            </w:r>
          </w:p>
        </w:tc>
        <w:tc>
          <w:tcPr>
            <w:vAlign w:val="top"/>
          </w:tcPr>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vAlign w:val="top"/>
          </w:tcPr>
          <w:p w:rsidR="00000000" w:rsidDel="00000000" w:rsidP="00000000" w:rsidRDefault="00000000" w:rsidRPr="00000000" w14:paraId="0000006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HG3 - Career Pathways Module 3</w:t>
            </w:r>
          </w:p>
        </w:tc>
        <w:tc>
          <w:tcPr>
            <w:vAlign w:val="top"/>
          </w:tcPr>
          <w:p w:rsidR="00000000" w:rsidDel="00000000" w:rsidP="00000000" w:rsidRDefault="00000000" w:rsidRPr="00000000" w14:paraId="00000067">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vAlign w:val="top"/>
          </w:tcPr>
          <w:p w:rsidR="00000000" w:rsidDel="00000000" w:rsidP="00000000" w:rsidRDefault="00000000" w:rsidRPr="00000000" w14:paraId="00000068">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9">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B">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C">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E">
            <w:pPr>
              <w:rPr>
                <w:vertAlign w:val="baseline"/>
              </w:rPr>
            </w:pPr>
            <w:r w:rsidDel="00000000" w:rsidR="00000000" w:rsidRPr="00000000">
              <w:rPr>
                <w:rtl w:val="0"/>
              </w:rPr>
            </w:r>
          </w:p>
        </w:tc>
      </w:tr>
    </w:tbl>
    <w:p w:rsidR="00000000" w:rsidDel="00000000" w:rsidP="00000000" w:rsidRDefault="00000000" w:rsidRPr="00000000" w14:paraId="0000006F">
      <w:pPr>
        <w:rPr>
          <w:b w:val="0"/>
          <w:sz w:val="20"/>
          <w:szCs w:val="20"/>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70">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7">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8">
            <w:pPr>
              <w:jc w:val="center"/>
              <w:rPr>
                <w:b w:val="0"/>
                <w:vertAlign w:val="baseline"/>
              </w:rPr>
            </w:pPr>
            <w:sdt>
              <w:sdtPr>
                <w:tag w:val="goog_rdk_4"/>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79">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A">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B">
            <w:pPr>
              <w:jc w:val="center"/>
              <w:rPr>
                <w:b w:val="0"/>
                <w:vertAlign w:val="baseline"/>
              </w:rPr>
            </w:pPr>
            <w:sdt>
              <w:sdtPr>
                <w:tag w:val="goog_rdk_5"/>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t xml:space="preserve">Major: LITR 319- Author Studies WI</w:t>
            </w:r>
          </w:p>
        </w:tc>
        <w:tc>
          <w:tcPr>
            <w:vAlign w:val="top"/>
          </w:tcPr>
          <w:p w:rsidR="00000000" w:rsidDel="00000000" w:rsidP="00000000" w:rsidRDefault="00000000" w:rsidRPr="00000000" w14:paraId="0000007D">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7E">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Major: Global Perspectives</w:t>
            </w:r>
          </w:p>
        </w:tc>
        <w:tc>
          <w:tcPr>
            <w:vAlign w:val="top"/>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1">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2">
            <w:pPr>
              <w:rPr>
                <w:color w:val="000000"/>
                <w:sz w:val="20"/>
                <w:szCs w:val="20"/>
                <w:vertAlign w:val="baseline"/>
              </w:rPr>
            </w:pPr>
            <w:r w:rsidDel="00000000" w:rsidR="00000000" w:rsidRPr="00000000">
              <w:rPr>
                <w:sz w:val="20"/>
                <w:szCs w:val="20"/>
                <w:vertAlign w:val="baseline"/>
                <w:rtl w:val="0"/>
              </w:rPr>
              <w:t xml:space="preserve">Major: Critical Approaches</w:t>
            </w:r>
            <w:r w:rsidDel="00000000" w:rsidR="00000000" w:rsidRPr="00000000">
              <w:rPr>
                <w:rtl w:val="0"/>
              </w:rPr>
            </w:r>
          </w:p>
        </w:tc>
        <w:tc>
          <w:tcPr>
            <w:vAlign w:val="top"/>
          </w:tcPr>
          <w:p w:rsidR="00000000" w:rsidDel="00000000" w:rsidP="00000000" w:rsidRDefault="00000000" w:rsidRPr="00000000" w14:paraId="00000083">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84">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Major: Literature Elective</w:t>
            </w:r>
          </w:p>
        </w:tc>
        <w:tc>
          <w:tcPr>
            <w:vAlign w:val="top"/>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7">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Major: Diverse Perspectives</w:t>
            </w:r>
          </w:p>
        </w:tc>
        <w:tc>
          <w:tcPr>
            <w:vAlign w:val="top"/>
          </w:tcPr>
          <w:p w:rsidR="00000000" w:rsidDel="00000000" w:rsidP="00000000" w:rsidRDefault="00000000" w:rsidRPr="00000000" w14:paraId="00000089">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8A">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rPr>
                <w:sz w:val="20"/>
                <w:szCs w:val="20"/>
                <w:vertAlign w:val="baseline"/>
              </w:rPr>
            </w:pPr>
            <w:r w:rsidDel="00000000" w:rsidR="00000000" w:rsidRPr="00000000">
              <w:rPr>
                <w:sz w:val="20"/>
                <w:szCs w:val="20"/>
                <w:vertAlign w:val="baseline"/>
                <w:rtl w:val="0"/>
              </w:rPr>
              <w:t xml:space="preserve">Major: Literature Elective</w:t>
            </w:r>
          </w:p>
        </w:tc>
        <w:tc>
          <w:tcPr>
            <w:vAlign w:val="top"/>
          </w:tcPr>
          <w:p w:rsidR="00000000" w:rsidDel="00000000" w:rsidP="00000000" w:rsidRDefault="00000000" w:rsidRPr="00000000" w14:paraId="0000008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D">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School Core: Language III* or Elective</w:t>
            </w:r>
          </w:p>
        </w:tc>
        <w:tc>
          <w:tcPr>
            <w:vAlign w:val="top"/>
          </w:tcPr>
          <w:p w:rsidR="00000000" w:rsidDel="00000000" w:rsidP="00000000" w:rsidRDefault="00000000" w:rsidRPr="00000000" w14:paraId="0000008F">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90">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rPr>
                <w:sz w:val="20"/>
                <w:szCs w:val="20"/>
                <w:vertAlign w:val="baseline"/>
              </w:rPr>
            </w:pPr>
            <w:r w:rsidDel="00000000" w:rsidR="00000000" w:rsidRPr="00000000">
              <w:rPr>
                <w:sz w:val="20"/>
                <w:szCs w:val="20"/>
                <w:rtl w:val="0"/>
              </w:rPr>
              <w:t xml:space="preserve">Gen Ed: Scientific Reasoning</w:t>
            </w:r>
            <w:r w:rsidDel="00000000" w:rsidR="00000000" w:rsidRPr="00000000">
              <w:rPr>
                <w:rtl w:val="0"/>
              </w:rPr>
            </w:r>
          </w:p>
        </w:tc>
        <w:tc>
          <w:tcPr>
            <w:vAlign w:val="top"/>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3">
            <w:pPr>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4">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7">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8">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9">
            <w:pPr>
              <w:jc w:val="center"/>
              <w:rPr>
                <w:vertAlign w:val="baseline"/>
              </w:rPr>
            </w:pPr>
            <w:r w:rsidDel="00000000" w:rsidR="00000000" w:rsidRPr="00000000">
              <w:rPr>
                <w:rtl w:val="0"/>
              </w:rPr>
            </w:r>
          </w:p>
        </w:tc>
      </w:tr>
    </w:tbl>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E">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6">
            <w:pPr>
              <w:jc w:val="center"/>
              <w:rPr>
                <w:b w:val="0"/>
                <w:vertAlign w:val="baseline"/>
              </w:rPr>
            </w:pPr>
            <w:sdt>
              <w:sdtPr>
                <w:tag w:val="goog_rdk_6"/>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A7">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8">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9">
            <w:pPr>
              <w:jc w:val="center"/>
              <w:rPr>
                <w:b w:val="0"/>
                <w:vertAlign w:val="baseline"/>
              </w:rPr>
            </w:pPr>
            <w:sdt>
              <w:sdtPr>
                <w:tag w:val="goog_rdk_7"/>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A">
            <w:pPr>
              <w:rPr>
                <w:sz w:val="20"/>
                <w:szCs w:val="20"/>
                <w:vertAlign w:val="baseline"/>
              </w:rPr>
            </w:pPr>
            <w:r w:rsidDel="00000000" w:rsidR="00000000" w:rsidRPr="00000000">
              <w:rPr>
                <w:sz w:val="20"/>
                <w:szCs w:val="20"/>
                <w:vertAlign w:val="baseline"/>
                <w:rtl w:val="0"/>
              </w:rPr>
              <w:t xml:space="preserve">Major: LITR 414 Literature Seminar</w:t>
            </w:r>
            <w:r w:rsidDel="00000000" w:rsidR="00000000" w:rsidRPr="00000000">
              <w:rPr>
                <w:color w:val="ff0000"/>
                <w:sz w:val="20"/>
                <w:szCs w:val="20"/>
                <w:vertAlign w:val="baseline"/>
                <w:rtl w:val="0"/>
              </w:rPr>
              <w:t xml:space="preserve"> </w:t>
            </w:r>
            <w:r w:rsidDel="00000000" w:rsidR="00000000" w:rsidRPr="00000000">
              <w:rPr>
                <w:sz w:val="20"/>
                <w:szCs w:val="20"/>
                <w:vertAlign w:val="baseline"/>
                <w:rtl w:val="0"/>
              </w:rPr>
              <w:t xml:space="preserve">WI</w:t>
            </w:r>
          </w:p>
        </w:tc>
        <w:tc>
          <w:tcPr>
            <w:vAlign w:val="top"/>
          </w:tcPr>
          <w:p w:rsidR="00000000" w:rsidDel="00000000" w:rsidP="00000000" w:rsidRDefault="00000000" w:rsidRPr="00000000" w14:paraId="000000A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C">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D">
            <w:pPr>
              <w:rPr>
                <w:sz w:val="20"/>
                <w:szCs w:val="20"/>
                <w:vertAlign w:val="baseline"/>
              </w:rPr>
            </w:pPr>
            <w:r w:rsidDel="00000000" w:rsidR="00000000" w:rsidRPr="00000000">
              <w:rPr>
                <w:sz w:val="20"/>
                <w:szCs w:val="20"/>
                <w:vertAlign w:val="baseline"/>
                <w:rtl w:val="0"/>
              </w:rPr>
              <w:t xml:space="preserve">Elective </w:t>
            </w:r>
          </w:p>
        </w:tc>
        <w:tc>
          <w:tcPr>
            <w:vAlign w:val="top"/>
          </w:tcPr>
          <w:p w:rsidR="00000000" w:rsidDel="00000000" w:rsidP="00000000" w:rsidRDefault="00000000" w:rsidRPr="00000000" w14:paraId="000000A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F">
            <w:pPr>
              <w:jc w:val="center"/>
              <w:rPr>
                <w:vertAlign w:val="baseline"/>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sz w:val="20"/>
                <w:szCs w:val="20"/>
                <w:highlight w:val="yellow"/>
              </w:rPr>
            </w:pPr>
            <w:r w:rsidDel="00000000" w:rsidR="00000000" w:rsidRPr="00000000">
              <w:rPr>
                <w:sz w:val="20"/>
                <w:szCs w:val="20"/>
                <w:highlight w:val="yellow"/>
                <w:rtl w:val="0"/>
              </w:rPr>
              <w:t xml:space="preserve">HNRS 499 – Honors Independent Study (2 or 4 credit)***</w:t>
            </w:r>
          </w:p>
        </w:tc>
        <w:tc>
          <w:tcPr>
            <w:vAlign w:val="top"/>
          </w:tcPr>
          <w:p w:rsidR="00000000" w:rsidDel="00000000" w:rsidP="00000000" w:rsidRDefault="00000000" w:rsidRPr="00000000" w14:paraId="000000B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2">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C">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E">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F">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C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1">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C2">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3">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4">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5">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6">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7">
            <w:pPr>
              <w:jc w:val="center"/>
              <w:rPr>
                <w:vertAlign w:val="baseline"/>
              </w:rPr>
            </w:pPr>
            <w:r w:rsidDel="00000000" w:rsidR="00000000" w:rsidRPr="00000000">
              <w:rPr>
                <w:rtl w:val="0"/>
              </w:rPr>
            </w:r>
          </w:p>
        </w:tc>
      </w:tr>
    </w:tbl>
    <w:p w:rsidR="00000000" w:rsidDel="00000000" w:rsidP="00000000" w:rsidRDefault="00000000" w:rsidRPr="00000000" w14:paraId="000000C8">
      <w:pPr>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r>
    </w:p>
    <w:p w:rsidR="00000000" w:rsidDel="00000000" w:rsidP="00000000" w:rsidRDefault="00000000" w:rsidRPr="00000000" w14:paraId="000000C9">
      <w:pPr>
        <w:rPr>
          <w:sz w:val="20"/>
          <w:szCs w:val="20"/>
          <w:vertAlign w:val="baseline"/>
        </w:rPr>
      </w:pPr>
      <w:r w:rsidDel="00000000" w:rsidR="00000000" w:rsidRPr="00000000">
        <w:rPr>
          <w:b w:val="1"/>
          <w:sz w:val="20"/>
          <w:szCs w:val="20"/>
          <w:vertAlign w:val="baseline"/>
          <w:rtl w:val="0"/>
        </w:rPr>
        <w:t xml:space="preserve">GPA:</w:t>
      </w:r>
      <w:r w:rsidDel="00000000" w:rsidR="00000000" w:rsidRPr="00000000">
        <w:rPr>
          <w:sz w:val="20"/>
          <w:szCs w:val="20"/>
          <w:vertAlign w:val="baseline"/>
          <w:rtl w:val="0"/>
        </w:rPr>
        <w:t xml:space="preserve"> 2.0</w:t>
      </w:r>
    </w:p>
    <w:p w:rsidR="00000000" w:rsidDel="00000000" w:rsidP="00000000" w:rsidRDefault="00000000" w:rsidRPr="00000000" w14:paraId="000000CA">
      <w:pPr>
        <w:rPr>
          <w:b w:val="0"/>
          <w:i w:val="0"/>
          <w:sz w:val="20"/>
          <w:szCs w:val="20"/>
          <w:vertAlign w:val="baseline"/>
        </w:rPr>
      </w:pPr>
      <w:r w:rsidDel="00000000" w:rsidR="00000000" w:rsidRPr="00000000">
        <w:rPr>
          <w:b w:val="1"/>
          <w:i w:val="1"/>
          <w:sz w:val="20"/>
          <w:szCs w:val="20"/>
          <w:vertAlign w:val="baseline"/>
          <w:rtl w:val="0"/>
        </w:rPr>
        <w:t xml:space="preserve">At least three (3) courses in the major must be at the 300-level.</w:t>
      </w:r>
      <w:r w:rsidDel="00000000" w:rsidR="00000000" w:rsidRPr="00000000">
        <w:rPr>
          <w:rtl w:val="0"/>
        </w:rPr>
      </w:r>
    </w:p>
    <w:p w:rsidR="00000000" w:rsidDel="00000000" w:rsidP="00000000" w:rsidRDefault="00000000" w:rsidRPr="00000000" w14:paraId="000000CB">
      <w:pPr>
        <w:rPr>
          <w:sz w:val="20"/>
          <w:szCs w:val="20"/>
          <w:vertAlign w:val="baseline"/>
        </w:rPr>
      </w:pPr>
      <w:r w:rsidDel="00000000" w:rsidR="00000000" w:rsidRPr="00000000">
        <w:rPr>
          <w:rtl w:val="0"/>
        </w:rPr>
      </w:r>
    </w:p>
    <w:p w:rsidR="00000000" w:rsidDel="00000000" w:rsidP="00000000" w:rsidRDefault="00000000" w:rsidRPr="00000000" w14:paraId="000000CC">
      <w:pPr>
        <w:rPr>
          <w:b w:val="0"/>
          <w:sz w:val="20"/>
          <w:szCs w:val="20"/>
          <w:vertAlign w:val="baseline"/>
        </w:rPr>
      </w:pPr>
      <w:r w:rsidDel="00000000" w:rsidR="00000000" w:rsidRPr="00000000">
        <w:rPr>
          <w:b w:val="1"/>
          <w:sz w:val="20"/>
          <w:szCs w:val="20"/>
          <w:vertAlign w:val="baseline"/>
          <w:rtl w:val="0"/>
        </w:rPr>
        <w:t xml:space="preserve">^Only two GenEd courses may double count for the major. For GenEd Distribution courses, one course MUST be taken outside of HGS.</w:t>
      </w:r>
      <w:r w:rsidDel="00000000" w:rsidR="00000000" w:rsidRPr="00000000">
        <w:rPr>
          <w:rtl w:val="0"/>
        </w:rPr>
      </w:r>
    </w:p>
    <w:p w:rsidR="00000000" w:rsidDel="00000000" w:rsidP="00000000" w:rsidRDefault="00000000" w:rsidRPr="00000000" w14:paraId="000000CD">
      <w:pPr>
        <w:rPr>
          <w:sz w:val="20"/>
          <w:szCs w:val="20"/>
          <w:vertAlign w:val="baseline"/>
        </w:rPr>
      </w:pPr>
      <w:r w:rsidDel="00000000" w:rsidR="00000000" w:rsidRPr="00000000">
        <w:rPr>
          <w:sz w:val="20"/>
          <w:szCs w:val="20"/>
          <w:vertAlign w:val="baseline"/>
          <w:rtl w:val="0"/>
        </w:rPr>
        <w:t xml:space="preserve">+ May Double Count in General Education and Major</w:t>
      </w:r>
    </w:p>
    <w:p w:rsidR="00000000" w:rsidDel="00000000" w:rsidP="00000000" w:rsidRDefault="00000000" w:rsidRPr="00000000" w14:paraId="000000CE">
      <w:pPr>
        <w:rPr>
          <w:sz w:val="20"/>
          <w:szCs w:val="20"/>
          <w:vertAlign w:val="baseline"/>
        </w:rPr>
      </w:pPr>
      <w:r w:rsidDel="00000000" w:rsidR="00000000" w:rsidRPr="00000000">
        <w:rPr>
          <w:sz w:val="20"/>
          <w:szCs w:val="20"/>
          <w:vertAlign w:val="baseline"/>
          <w:rtl w:val="0"/>
        </w:rPr>
        <w:t xml:space="preserve">*If Needed</w:t>
      </w:r>
    </w:p>
    <w:p w:rsidR="00000000" w:rsidDel="00000000" w:rsidP="00000000" w:rsidRDefault="00000000" w:rsidRPr="00000000" w14:paraId="000000CF">
      <w:pPr>
        <w:rPr>
          <w:sz w:val="20"/>
          <w:szCs w:val="20"/>
          <w:vertAlign w:val="baseline"/>
        </w:rPr>
      </w:pPr>
      <w:r w:rsidDel="00000000" w:rsidR="00000000" w:rsidRPr="00000000">
        <w:rPr>
          <w:sz w:val="20"/>
          <w:szCs w:val="20"/>
          <w:vertAlign w:val="baseline"/>
          <w:rtl w:val="0"/>
        </w:rPr>
        <w:t xml:space="preserve">** GenEd Global Awareness may be met by Intermediate Level Language requirement. Not all language courses may count for Global Awareness. </w:t>
      </w:r>
    </w:p>
    <w:p w:rsidR="00000000" w:rsidDel="00000000" w:rsidP="00000000" w:rsidRDefault="00000000" w:rsidRPr="00000000" w14:paraId="000000D0">
      <w:pPr>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1">
      <w:pPr>
        <w:rPr>
          <w:b w:val="0"/>
          <w:i w:val="0"/>
          <w:sz w:val="20"/>
          <w:szCs w:val="20"/>
          <w:vertAlign w:val="baseline"/>
        </w:rPr>
      </w:pPr>
      <w:r w:rsidDel="00000000" w:rsidR="00000000" w:rsidRPr="00000000">
        <w:rPr>
          <w:b w:val="1"/>
          <w:i w:val="1"/>
          <w:sz w:val="20"/>
          <w:szCs w:val="20"/>
          <w:vertAlign w:val="baseline"/>
          <w:rtl w:val="0"/>
        </w:rPr>
        <w:t xml:space="preserve">With 8 elective courses, students may consider: double major, minor or Teacher Education Certification program.</w:t>
      </w:r>
      <w:r w:rsidDel="00000000" w:rsidR="00000000" w:rsidRPr="00000000">
        <w:rPr>
          <w:rtl w:val="0"/>
        </w:rPr>
      </w:r>
    </w:p>
    <w:p w:rsidR="00000000" w:rsidDel="00000000" w:rsidP="00000000" w:rsidRDefault="00000000" w:rsidRPr="00000000" w14:paraId="000000D2">
      <w:pPr>
        <w:rPr>
          <w:sz w:val="20"/>
          <w:szCs w:val="20"/>
          <w:vertAlign w:val="baseline"/>
        </w:rPr>
      </w:pPr>
      <w:r w:rsidDel="00000000" w:rsidR="00000000" w:rsidRPr="00000000">
        <w:rPr>
          <w:sz w:val="20"/>
          <w:szCs w:val="20"/>
          <w:vertAlign w:val="baseline"/>
          <w:rtl w:val="0"/>
        </w:rPr>
        <w:t xml:space="preserve">WI- Writing intensive courses needed prior to graduation</w:t>
      </w:r>
    </w:p>
    <w:p w:rsidR="00000000" w:rsidDel="00000000" w:rsidP="00000000" w:rsidRDefault="00000000" w:rsidRPr="00000000" w14:paraId="000000D3">
      <w:pPr>
        <w:rPr>
          <w:sz w:val="20"/>
          <w:szCs w:val="2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6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LightGrid-Accent3">
    <w:name w:val="Light Grid - Accent 3"/>
    <w:basedOn w:val="Normal"/>
    <w:next w:val="LightGrid-Accent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PtX6lRp19Udj3zMi41JgzQmGg==">AMUW2mWbvHpii+1igCgd5eKt1PqJ+wkHDQaQVRwtoL5Up/MDpKmVR+e/bcQNhhor+sTF43l888JPvr8xMi/5fyZtKOAW02zmNi/VAnwKSvCbQexUEtrDNG1AnbS0SXu3hkaxdga1QOb3CgrFR2fN219TWT6NlZnFFq/9c0dB5NKkCHXrFYvvQKBUbnIQObyqzQw0+dp+Ly7qsl+FbVS/QTyRAJL2rdqkZxufJ4Ca00CILOCve0NFW/Y6t/68+RV3TFlnnRiLI5Hf6YwkqyW1M+4kj/DS1IAEfv6uOTOdnvf1VoP1gXTMe9fl1q9DKcRnTQOYYfmxRLXiqhZEcfugJfHuTuRa8dGVYK77VPTXi0R8OLGS6VvOqSgZ3l+ymfxuOEtxNgoTFx3L0/sIB6Ds9Y3mO2TDLLB3clhejZ++fYZ4GZ3SqMCDjb0wRoyLCuiNag+UzwXk5x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2020-05-06T01:27:00Z</dcterms:created>
  <dc:creator>user</dc:creator>
</cp:coreProperties>
</file>