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3A8" w:rsidRDefault="00044B47">
      <w:pPr>
        <w:pStyle w:val="Body"/>
      </w:pPr>
      <w:r>
        <w:rPr>
          <w:noProof/>
        </w:rPr>
        <w:drawing>
          <wp:anchor distT="0" distB="0" distL="0" distR="0" simplePos="0" relativeHeight="251659264" behindDoc="0" locked="0" layoutInCell="1" allowOverlap="1">
            <wp:simplePos x="0" y="0"/>
            <wp:positionH relativeFrom="column">
              <wp:posOffset>2</wp:posOffset>
            </wp:positionH>
            <wp:positionV relativeFrom="line">
              <wp:posOffset>0</wp:posOffset>
            </wp:positionV>
            <wp:extent cx="1543050" cy="552450"/>
            <wp:effectExtent l="0" t="0" r="0" b="0"/>
            <wp:wrapNone/>
            <wp:docPr id="1073741826" name="officeArt object" descr="image1.png"/>
            <wp:cNvGraphicFramePr/>
            <a:graphic xmlns:a="http://schemas.openxmlformats.org/drawingml/2006/main">
              <a:graphicData uri="http://schemas.openxmlformats.org/drawingml/2006/picture">
                <pic:pic xmlns:pic="http://schemas.openxmlformats.org/drawingml/2006/picture">
                  <pic:nvPicPr>
                    <pic:cNvPr id="1073741826" name="image1.png" descr="image1.png"/>
                    <pic:cNvPicPr>
                      <a:picLocks noChangeAspect="1"/>
                    </pic:cNvPicPr>
                  </pic:nvPicPr>
                  <pic:blipFill>
                    <a:blip r:embed="rId6">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7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364"/>
        <w:gridCol w:w="5364"/>
      </w:tblGrid>
      <w:tr w:rsidR="002E03A8">
        <w:trPr>
          <w:trHeight w:val="309"/>
        </w:trPr>
        <w:tc>
          <w:tcPr>
            <w:tcW w:w="5364" w:type="dxa"/>
            <w:tcBorders>
              <w:top w:val="nil"/>
              <w:left w:val="nil"/>
              <w:bottom w:val="nil"/>
              <w:right w:val="nil"/>
            </w:tcBorders>
            <w:shd w:val="clear" w:color="auto" w:fill="auto"/>
            <w:tcMar>
              <w:top w:w="80" w:type="dxa"/>
              <w:left w:w="80" w:type="dxa"/>
              <w:bottom w:w="80" w:type="dxa"/>
              <w:right w:w="80" w:type="dxa"/>
            </w:tcMar>
          </w:tcPr>
          <w:p w:rsidR="002E03A8" w:rsidRDefault="002E03A8"/>
        </w:tc>
        <w:tc>
          <w:tcPr>
            <w:tcW w:w="5364" w:type="dxa"/>
            <w:tcBorders>
              <w:top w:val="nil"/>
              <w:left w:val="nil"/>
              <w:bottom w:val="nil"/>
              <w:right w:val="nil"/>
            </w:tcBorders>
            <w:shd w:val="clear" w:color="auto" w:fill="auto"/>
            <w:tcMar>
              <w:top w:w="80" w:type="dxa"/>
              <w:left w:w="80" w:type="dxa"/>
              <w:bottom w:w="80" w:type="dxa"/>
              <w:right w:w="80" w:type="dxa"/>
            </w:tcMar>
          </w:tcPr>
          <w:p w:rsidR="002E03A8" w:rsidRDefault="00044B47">
            <w:pPr>
              <w:pStyle w:val="Body"/>
            </w:pPr>
            <w:r>
              <w:rPr>
                <w:b/>
                <w:bCs/>
                <w:sz w:val="26"/>
                <w:szCs w:val="26"/>
              </w:rPr>
              <w:t>School of Contemporary Arts</w:t>
            </w:r>
          </w:p>
        </w:tc>
      </w:tr>
    </w:tbl>
    <w:p w:rsidR="002E03A8" w:rsidRDefault="002E03A8">
      <w:pPr>
        <w:pStyle w:val="Body"/>
        <w:widowControl w:val="0"/>
      </w:pPr>
    </w:p>
    <w:p w:rsidR="002E03A8" w:rsidRDefault="002E03A8">
      <w:pPr>
        <w:pStyle w:val="Body"/>
      </w:pPr>
    </w:p>
    <w:p w:rsidR="002E03A8" w:rsidRDefault="00044B47">
      <w:pPr>
        <w:pStyle w:val="Body"/>
      </w:pPr>
      <w:r>
        <w:rPr>
          <w:b/>
          <w:bCs/>
          <w:sz w:val="28"/>
          <w:szCs w:val="28"/>
        </w:rPr>
        <w:t>Music: Music Industry</w:t>
      </w:r>
    </w:p>
    <w:p w:rsidR="002E03A8" w:rsidRDefault="00044B47">
      <w:pPr>
        <w:pStyle w:val="Body"/>
        <w:rPr>
          <w:sz w:val="14"/>
          <w:szCs w:val="14"/>
        </w:rPr>
      </w:pPr>
      <w:r>
        <w:t>Recommended Four-Year Plan (Fall 2023)</w:t>
      </w:r>
      <w:r>
        <w:br/>
      </w:r>
    </w:p>
    <w:p w:rsidR="002E03A8" w:rsidRDefault="00044B47">
      <w:pPr>
        <w:pStyle w:val="Body"/>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2E03A8" w:rsidRDefault="00044B47">
      <w:pPr>
        <w:pStyle w:val="Body"/>
        <w:rPr>
          <w:sz w:val="20"/>
          <w:szCs w:val="20"/>
        </w:rPr>
      </w:pPr>
      <w:r>
        <w:rPr>
          <w:b/>
          <w:bCs/>
          <w:sz w:val="20"/>
          <w:szCs w:val="20"/>
        </w:rPr>
        <w:t>NOTE:</w:t>
      </w:r>
      <w:r>
        <w:rPr>
          <w:sz w:val="20"/>
          <w:szCs w:val="20"/>
        </w:rPr>
        <w:t xml:space="preserve"> This recommended Four-Year Plan is applicable to students admitted into the major during the 2023-2024 academic year.</w:t>
      </w:r>
      <w:r>
        <w:rPr>
          <w:sz w:val="20"/>
          <w:szCs w:val="20"/>
        </w:rPr>
        <w:br/>
      </w:r>
    </w:p>
    <w:p w:rsidR="002E03A8" w:rsidRDefault="002E03A8">
      <w:pPr>
        <w:pStyle w:val="Body"/>
        <w:rPr>
          <w:sz w:val="20"/>
          <w:szCs w:val="20"/>
        </w:rPr>
      </w:pPr>
    </w:p>
    <w:tbl>
      <w:tblPr>
        <w:tblW w:w="1081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85"/>
        <w:gridCol w:w="1010"/>
        <w:gridCol w:w="549"/>
        <w:gridCol w:w="4143"/>
        <w:gridCol w:w="877"/>
        <w:gridCol w:w="549"/>
      </w:tblGrid>
      <w:tr w:rsidR="002E03A8">
        <w:trPr>
          <w:trHeight w:val="318"/>
          <w:jc w:val="center"/>
        </w:trPr>
        <w:tc>
          <w:tcPr>
            <w:tcW w:w="10813"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sz w:val="28"/>
                <w:szCs w:val="28"/>
              </w:rPr>
              <w:t>First Year</w:t>
            </w:r>
          </w:p>
        </w:tc>
      </w:tr>
      <w:tr w:rsidR="002E03A8">
        <w:trPr>
          <w:trHeight w:val="330"/>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Fall Semester</w:t>
            </w:r>
          </w:p>
        </w:tc>
        <w:tc>
          <w:tcPr>
            <w:tcW w:w="101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4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c>
          <w:tcPr>
            <w:tcW w:w="4143"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Spring Semester</w:t>
            </w:r>
          </w:p>
        </w:tc>
        <w:tc>
          <w:tcPr>
            <w:tcW w:w="877"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49"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r>
      <w:tr w:rsidR="002E03A8">
        <w:trPr>
          <w:trHeight w:val="44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Gen Ed: (FYS) First Year 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Gen Ed: (AIID 201) Studies in Arts and Humanities</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176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Gen Ed: (CRWT) Critical Reading &amp; Writing II</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rPr>
                <w:sz w:val="20"/>
                <w:szCs w:val="20"/>
              </w:rPr>
            </w:pPr>
            <w:r>
              <w:rPr>
                <w:sz w:val="20"/>
                <w:szCs w:val="20"/>
              </w:rPr>
              <w:t>MUSI 123-Musicianship I OR</w:t>
            </w:r>
          </w:p>
          <w:p w:rsidR="002E03A8" w:rsidRDefault="00E6067A">
            <w:pPr>
              <w:pStyle w:val="Body"/>
              <w:rPr>
                <w:sz w:val="20"/>
                <w:szCs w:val="20"/>
              </w:rPr>
            </w:pPr>
            <w:r>
              <w:rPr>
                <w:sz w:val="20"/>
                <w:szCs w:val="20"/>
              </w:rPr>
              <w:t>MUSI 140</w:t>
            </w:r>
            <w:bookmarkStart w:id="0" w:name="_GoBack"/>
            <w:bookmarkEnd w:id="0"/>
            <w:r w:rsidR="00044B47">
              <w:rPr>
                <w:sz w:val="20"/>
                <w:szCs w:val="20"/>
              </w:rPr>
              <w:t xml:space="preserve">-Musicianship for Music Industry (spring semesters) can substitute for MUSI 123-Musicianship I** or </w:t>
            </w:r>
          </w:p>
          <w:p w:rsidR="002E03A8" w:rsidRDefault="00044B47">
            <w:pPr>
              <w:pStyle w:val="Body"/>
              <w:rPr>
                <w:sz w:val="20"/>
                <w:szCs w:val="20"/>
              </w:rPr>
            </w:pPr>
            <w:r>
              <w:rPr>
                <w:sz w:val="20"/>
                <w:szCs w:val="20"/>
              </w:rPr>
              <w:t>MUSI 210-Musicianship II OR MUSI 209-Aural Skills</w:t>
            </w:r>
          </w:p>
          <w:p w:rsidR="002E03A8" w:rsidRDefault="00044B47">
            <w:pPr>
              <w:pStyle w:val="Body"/>
            </w:pPr>
            <w:r>
              <w:rPr>
                <w:sz w:val="20"/>
                <w:szCs w:val="20"/>
              </w:rPr>
              <w:t xml:space="preserve">(depending on testing placement or course sequence)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22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proofErr w:type="spellStart"/>
            <w:r>
              <w:rPr>
                <w:sz w:val="20"/>
                <w:szCs w:val="20"/>
              </w:rPr>
              <w:t>GenEd</w:t>
            </w:r>
            <w:proofErr w:type="spellEnd"/>
            <w:r>
              <w:rPr>
                <w:sz w:val="20"/>
                <w:szCs w:val="20"/>
              </w:rPr>
              <w:t>: SOSC 110-Social Science Inquiry</w:t>
            </w:r>
            <w:r>
              <w:rPr>
                <w:i/>
                <w:iCs/>
                <w:sz w:val="20"/>
                <w:szCs w:val="20"/>
              </w:rPr>
              <w:t xml:space="preserve"> </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proofErr w:type="spellStart"/>
            <w:r>
              <w:rPr>
                <w:sz w:val="20"/>
                <w:szCs w:val="20"/>
              </w:rPr>
              <w:t>GenEd</w:t>
            </w:r>
            <w:proofErr w:type="spellEnd"/>
            <w:r>
              <w:rPr>
                <w:sz w:val="20"/>
                <w:szCs w:val="20"/>
              </w:rPr>
              <w:t xml:space="preserve">: HIST 150-History Matters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154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rPr>
                <w:sz w:val="20"/>
                <w:szCs w:val="20"/>
              </w:rPr>
            </w:pPr>
            <w:r>
              <w:rPr>
                <w:i/>
                <w:iCs/>
                <w:sz w:val="20"/>
                <w:szCs w:val="20"/>
              </w:rPr>
              <w:t>Depending on Placement Test:</w:t>
            </w:r>
            <w:r>
              <w:rPr>
                <w:sz w:val="20"/>
                <w:szCs w:val="20"/>
              </w:rPr>
              <w:t xml:space="preserve"> ***</w:t>
            </w:r>
          </w:p>
          <w:p w:rsidR="002E03A8" w:rsidRDefault="00044B47">
            <w:pPr>
              <w:pStyle w:val="Body"/>
              <w:rPr>
                <w:sz w:val="20"/>
                <w:szCs w:val="20"/>
              </w:rPr>
            </w:pPr>
            <w:r>
              <w:rPr>
                <w:sz w:val="20"/>
                <w:szCs w:val="20"/>
              </w:rPr>
              <w:t xml:space="preserve">MUSI 121-Music Fundamentals </w:t>
            </w:r>
          </w:p>
          <w:p w:rsidR="002E03A8" w:rsidRDefault="00044B47">
            <w:pPr>
              <w:pStyle w:val="Body"/>
              <w:rPr>
                <w:sz w:val="20"/>
                <w:szCs w:val="20"/>
              </w:rPr>
            </w:pPr>
            <w:r>
              <w:rPr>
                <w:sz w:val="20"/>
                <w:szCs w:val="20"/>
              </w:rPr>
              <w:t xml:space="preserve">OR </w:t>
            </w:r>
          </w:p>
          <w:p w:rsidR="002E03A8" w:rsidRDefault="00044B47">
            <w:pPr>
              <w:pStyle w:val="Body"/>
              <w:rPr>
                <w:sz w:val="20"/>
                <w:szCs w:val="20"/>
              </w:rPr>
            </w:pPr>
            <w:r>
              <w:rPr>
                <w:sz w:val="20"/>
                <w:szCs w:val="20"/>
              </w:rPr>
              <w:t>MUSI 123-Musicianship I OR</w:t>
            </w:r>
          </w:p>
          <w:p w:rsidR="002E03A8" w:rsidRDefault="00F64F83">
            <w:pPr>
              <w:pStyle w:val="Body"/>
            </w:pPr>
            <w:r>
              <w:rPr>
                <w:sz w:val="20"/>
                <w:szCs w:val="20"/>
              </w:rPr>
              <w:t>MUSI 140</w:t>
            </w:r>
            <w:r w:rsidR="00044B47">
              <w:rPr>
                <w:sz w:val="20"/>
                <w:szCs w:val="20"/>
              </w:rPr>
              <w:t>-Musicianship for Music Industry (spring semesters) can substitute for Musicianship I</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 xml:space="preserve">Quantitative Reasoning: MATH 104-Math for the Modern World (Recommended) </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rPr>
                <w:sz w:val="20"/>
                <w:szCs w:val="20"/>
              </w:rPr>
            </w:pPr>
            <w:r>
              <w:rPr>
                <w:sz w:val="20"/>
                <w:szCs w:val="20"/>
              </w:rPr>
              <w:t>4</w:t>
            </w:r>
          </w:p>
          <w:p w:rsidR="002E03A8" w:rsidRDefault="002E03A8">
            <w:pPr>
              <w:pStyle w:val="Body"/>
              <w:jc w:val="cente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Career Pathways: PATH CA1 - Career Pathways Module 1</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Degree</w:t>
            </w:r>
            <w:r>
              <w:rPr>
                <w:sz w:val="20"/>
                <w:szCs w:val="20"/>
              </w:rPr>
              <w:br/>
            </w:r>
            <w:proofErr w:type="spellStart"/>
            <w:r>
              <w:rPr>
                <w:sz w:val="20"/>
                <w:szCs w:val="20"/>
              </w:rPr>
              <w:t>Rqmt</w:t>
            </w:r>
            <w:proofErr w:type="spellEnd"/>
            <w:r>
              <w:rPr>
                <w:sz w:val="20"/>
                <w:szCs w:val="20"/>
              </w:rPr>
              <w:t>.</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222"/>
          <w:jc w:val="center"/>
        </w:trPr>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bl>
    <w:p w:rsidR="002E03A8" w:rsidRDefault="002E03A8">
      <w:pPr>
        <w:pStyle w:val="Body"/>
        <w:widowControl w:val="0"/>
        <w:jc w:val="center"/>
        <w:rPr>
          <w:sz w:val="20"/>
          <w:szCs w:val="20"/>
        </w:rPr>
      </w:pPr>
    </w:p>
    <w:p w:rsidR="002E03A8" w:rsidRDefault="002E03A8">
      <w:pPr>
        <w:pStyle w:val="Body"/>
      </w:pPr>
    </w:p>
    <w:tbl>
      <w:tblPr>
        <w:tblW w:w="108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705"/>
        <w:gridCol w:w="1035"/>
        <w:gridCol w:w="549"/>
        <w:gridCol w:w="3975"/>
        <w:gridCol w:w="1035"/>
        <w:gridCol w:w="549"/>
      </w:tblGrid>
      <w:tr w:rsidR="002E03A8">
        <w:trPr>
          <w:trHeight w:val="318"/>
          <w:jc w:val="center"/>
        </w:trPr>
        <w:tc>
          <w:tcPr>
            <w:tcW w:w="10848" w:type="dxa"/>
            <w:gridSpan w:val="6"/>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jc w:val="center"/>
            </w:pPr>
            <w:r>
              <w:rPr>
                <w:b/>
                <w:bCs/>
                <w:sz w:val="28"/>
                <w:szCs w:val="28"/>
              </w:rPr>
              <w:t>Second Year</w:t>
            </w:r>
          </w:p>
        </w:tc>
      </w:tr>
      <w:tr w:rsidR="002E03A8">
        <w:trPr>
          <w:trHeight w:val="330"/>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pPr>
            <w:r>
              <w:rPr>
                <w:b/>
                <w:bCs/>
              </w:rPr>
              <w:t>Fall Semester</w:t>
            </w:r>
          </w:p>
        </w:tc>
        <w:tc>
          <w:tcPr>
            <w:tcW w:w="103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jc w:val="center"/>
            </w:pPr>
            <w:r>
              <w:rPr>
                <w:b/>
                <w:bCs/>
              </w:rPr>
              <w:t>HRS</w:t>
            </w:r>
          </w:p>
        </w:tc>
        <w:tc>
          <w:tcPr>
            <w:tcW w:w="549"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c>
          <w:tcPr>
            <w:tcW w:w="397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pPr>
            <w:r>
              <w:rPr>
                <w:b/>
                <w:bCs/>
              </w:rPr>
              <w:t>Spring Semester</w:t>
            </w:r>
          </w:p>
        </w:tc>
        <w:tc>
          <w:tcPr>
            <w:tcW w:w="1035"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jc w:val="center"/>
            </w:pPr>
            <w:r>
              <w:rPr>
                <w:b/>
                <w:bCs/>
              </w:rPr>
              <w:t>HRS</w:t>
            </w:r>
          </w:p>
        </w:tc>
        <w:tc>
          <w:tcPr>
            <w:tcW w:w="549"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r>
      <w:tr w:rsidR="002E03A8">
        <w:trPr>
          <w:trHeight w:val="662"/>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rPr>
                <w:i/>
                <w:iCs/>
                <w:sz w:val="20"/>
                <w:szCs w:val="20"/>
              </w:rPr>
            </w:pPr>
            <w:r>
              <w:rPr>
                <w:i/>
                <w:iCs/>
                <w:sz w:val="20"/>
                <w:szCs w:val="20"/>
              </w:rPr>
              <w:t>After Musicianship I (or equiv.):</w:t>
            </w:r>
          </w:p>
          <w:p w:rsidR="002E03A8" w:rsidRDefault="00044B47">
            <w:pPr>
              <w:pStyle w:val="Body"/>
            </w:pPr>
            <w:r>
              <w:rPr>
                <w:sz w:val="20"/>
                <w:szCs w:val="20"/>
              </w:rPr>
              <w:t>MUSI 255-Music, History, and Culture (any semester)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proofErr w:type="spellStart"/>
            <w:r>
              <w:rPr>
                <w:sz w:val="20"/>
                <w:szCs w:val="20"/>
              </w:rPr>
              <w:t>GenEd</w:t>
            </w:r>
            <w:proofErr w:type="spellEnd"/>
            <w:r>
              <w:rPr>
                <w:sz w:val="20"/>
                <w:szCs w:val="20"/>
              </w:rPr>
              <w:t>: Scientific Reasoning</w:t>
            </w:r>
            <w:r>
              <w:rPr>
                <w:sz w:val="20"/>
                <w:szCs w:val="20"/>
              </w:rPr>
              <w:br/>
              <w:t>PHYS 101-Physics for Non-Scientists recommended</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662"/>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lastRenderedPageBreak/>
              <w:t>Music &amp; Culture Course (200 Level) (any semester)****</w:t>
            </w:r>
            <w:r>
              <w:rPr>
                <w:sz w:val="20"/>
                <w:szCs w:val="20"/>
              </w:rPr>
              <w:br/>
            </w:r>
            <w:proofErr w:type="spellStart"/>
            <w:r>
              <w:rPr>
                <w:sz w:val="20"/>
                <w:szCs w:val="20"/>
              </w:rPr>
              <w:t>GenEd</w:t>
            </w:r>
            <w:proofErr w:type="spellEnd"/>
            <w:r>
              <w:rPr>
                <w:sz w:val="20"/>
                <w:szCs w:val="20"/>
              </w:rPr>
              <w:t>: Culture and Creativity</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proofErr w:type="spellStart"/>
            <w:r>
              <w:rPr>
                <w:sz w:val="20"/>
                <w:szCs w:val="20"/>
              </w:rPr>
              <w:t>GenEd</w:t>
            </w:r>
            <w:proofErr w:type="spellEnd"/>
            <w:r>
              <w:rPr>
                <w:sz w:val="20"/>
                <w:szCs w:val="20"/>
              </w:rPr>
              <w:t xml:space="preserve">: Global Awareness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263-Business of Music</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Music Industry Concentration Elective (select 2) *****</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COMM 202-Fundamentals of Interactive Media (any semester)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DATA 101-Introduction to Data Science (any semester)</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Career Pathways: PATH CA2 - Career Pathways Module 2</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Degree</w:t>
            </w:r>
            <w:r>
              <w:rPr>
                <w:sz w:val="20"/>
                <w:szCs w:val="20"/>
              </w:rPr>
              <w:br/>
            </w:r>
            <w:proofErr w:type="spellStart"/>
            <w:r>
              <w:rPr>
                <w:sz w:val="20"/>
                <w:szCs w:val="20"/>
              </w:rPr>
              <w:t>Rqmt</w:t>
            </w:r>
            <w:proofErr w:type="spellEnd"/>
            <w:r>
              <w:rPr>
                <w:sz w:val="20"/>
                <w:szCs w:val="20"/>
              </w:rPr>
              <w:t>.</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Career Pathways: PATH CA3 - Career Pathways Module 3</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Degree</w:t>
            </w:r>
            <w:r>
              <w:rPr>
                <w:sz w:val="20"/>
                <w:szCs w:val="20"/>
              </w:rPr>
              <w:br/>
            </w:r>
            <w:proofErr w:type="spellStart"/>
            <w:r>
              <w:rPr>
                <w:sz w:val="20"/>
                <w:szCs w:val="20"/>
              </w:rPr>
              <w:t>Rqmt</w:t>
            </w:r>
            <w:proofErr w:type="spellEnd"/>
            <w:r>
              <w:rPr>
                <w:sz w:val="20"/>
                <w:szCs w:val="20"/>
              </w:rPr>
              <w:t>.</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300"/>
          <w:jc w:val="center"/>
        </w:trPr>
        <w:tc>
          <w:tcPr>
            <w:tcW w:w="3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3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bl>
    <w:p w:rsidR="002E03A8" w:rsidRDefault="002E03A8">
      <w:pPr>
        <w:pStyle w:val="Body"/>
        <w:widowControl w:val="0"/>
        <w:jc w:val="center"/>
      </w:pPr>
    </w:p>
    <w:p w:rsidR="002E03A8" w:rsidRDefault="002E03A8">
      <w:pPr>
        <w:pStyle w:val="Body"/>
        <w:ind w:firstLine="90"/>
      </w:pPr>
    </w:p>
    <w:p w:rsidR="002E03A8" w:rsidRDefault="002E03A8">
      <w:pPr>
        <w:pStyle w:val="Body"/>
      </w:pPr>
    </w:p>
    <w:tbl>
      <w:tblPr>
        <w:tblW w:w="1096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970"/>
        <w:gridCol w:w="812"/>
        <w:gridCol w:w="555"/>
        <w:gridCol w:w="4190"/>
        <w:gridCol w:w="886"/>
        <w:gridCol w:w="555"/>
      </w:tblGrid>
      <w:tr w:rsidR="002E03A8">
        <w:trPr>
          <w:trHeight w:val="318"/>
          <w:jc w:val="center"/>
        </w:trPr>
        <w:tc>
          <w:tcPr>
            <w:tcW w:w="10968"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sz w:val="28"/>
                <w:szCs w:val="28"/>
              </w:rPr>
              <w:t>Third Year</w:t>
            </w:r>
          </w:p>
        </w:tc>
      </w:tr>
      <w:tr w:rsidR="002E03A8">
        <w:trPr>
          <w:trHeight w:val="330"/>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Fall Semester</w:t>
            </w:r>
          </w:p>
        </w:tc>
        <w:tc>
          <w:tcPr>
            <w:tcW w:w="81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c>
          <w:tcPr>
            <w:tcW w:w="419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Spring Semester</w:t>
            </w:r>
          </w:p>
        </w:tc>
        <w:tc>
          <w:tcPr>
            <w:tcW w:w="886"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55"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r>
      <w:tr w:rsidR="002E03A8">
        <w:trPr>
          <w:trHeight w:val="442"/>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 xml:space="preserve">Music Industry Concentration Elective (select 2) </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662"/>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313-Music Online – WI (does not also count for 300-level Music and Culture) (3rd or 4th year)</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301-Advanced Business of Music (3rd or 4th year, spring only)</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316-Music, Technology, and Media (some years also in spring) (3rd or 4th year)</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350-Marketing &amp; Management in Music Industry (3rd or 4th year, spring only)</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222"/>
          <w:jc w:val="center"/>
        </w:trPr>
        <w:tc>
          <w:tcPr>
            <w:tcW w:w="3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8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bl>
    <w:p w:rsidR="002E03A8" w:rsidRDefault="002E03A8">
      <w:pPr>
        <w:pStyle w:val="Body"/>
        <w:widowControl w:val="0"/>
        <w:jc w:val="center"/>
      </w:pPr>
    </w:p>
    <w:p w:rsidR="002E03A8" w:rsidRDefault="002E03A8">
      <w:pPr>
        <w:pStyle w:val="Body"/>
      </w:pPr>
    </w:p>
    <w:p w:rsidR="002E03A8" w:rsidRDefault="002E03A8">
      <w:pPr>
        <w:pStyle w:val="Body"/>
        <w:ind w:firstLine="90"/>
      </w:pPr>
    </w:p>
    <w:tbl>
      <w:tblPr>
        <w:tblW w:w="1074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8"/>
        <w:gridCol w:w="862"/>
        <w:gridCol w:w="540"/>
        <w:gridCol w:w="4080"/>
        <w:gridCol w:w="862"/>
        <w:gridCol w:w="544"/>
      </w:tblGrid>
      <w:tr w:rsidR="002E03A8">
        <w:trPr>
          <w:trHeight w:val="318"/>
          <w:jc w:val="center"/>
        </w:trPr>
        <w:tc>
          <w:tcPr>
            <w:tcW w:w="10746" w:type="dxa"/>
            <w:gridSpan w:val="6"/>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sz w:val="28"/>
                <w:szCs w:val="28"/>
              </w:rPr>
              <w:t>Fourth Year</w:t>
            </w:r>
          </w:p>
        </w:tc>
      </w:tr>
      <w:tr w:rsidR="002E03A8">
        <w:trPr>
          <w:trHeight w:val="330"/>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Fall Semester</w:t>
            </w:r>
          </w:p>
        </w:tc>
        <w:tc>
          <w:tcPr>
            <w:tcW w:w="86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4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c>
          <w:tcPr>
            <w:tcW w:w="4080"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pPr>
            <w:r>
              <w:rPr>
                <w:b/>
                <w:bCs/>
              </w:rPr>
              <w:t>Spring Semester</w:t>
            </w:r>
          </w:p>
        </w:tc>
        <w:tc>
          <w:tcPr>
            <w:tcW w:w="862"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b/>
                <w:bCs/>
              </w:rPr>
              <w:t>HRS</w:t>
            </w:r>
          </w:p>
        </w:tc>
        <w:tc>
          <w:tcPr>
            <w:tcW w:w="541" w:type="dxa"/>
            <w:tcBorders>
              <w:top w:val="single" w:sz="4" w:space="0" w:color="000000"/>
              <w:left w:val="single" w:sz="4" w:space="0" w:color="000000"/>
              <w:bottom w:val="single" w:sz="4" w:space="0" w:color="000000"/>
              <w:right w:val="single" w:sz="4" w:space="0" w:color="000000"/>
            </w:tcBorders>
            <w:shd w:val="clear" w:color="auto" w:fill="E6E6E6"/>
            <w:tcMar>
              <w:top w:w="80" w:type="dxa"/>
              <w:left w:w="80" w:type="dxa"/>
              <w:bottom w:w="80" w:type="dxa"/>
              <w:right w:w="80" w:type="dxa"/>
            </w:tcMar>
          </w:tcPr>
          <w:p w:rsidR="002E03A8" w:rsidRDefault="00044B47">
            <w:pPr>
              <w:pStyle w:val="Body"/>
              <w:ind w:firstLine="90"/>
              <w:jc w:val="center"/>
            </w:pPr>
            <w:r>
              <w:rPr>
                <w:rFonts w:ascii="Arial Unicode MS" w:hAnsi="Arial Unicode MS"/>
              </w:rPr>
              <w:t>✓</w:t>
            </w:r>
          </w:p>
        </w:tc>
      </w:tr>
      <w:tr w:rsidR="002E03A8">
        <w:trPr>
          <w:trHeight w:val="662"/>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proofErr w:type="spellStart"/>
            <w:r>
              <w:rPr>
                <w:sz w:val="20"/>
                <w:szCs w:val="20"/>
              </w:rPr>
              <w:t>GenEd</w:t>
            </w:r>
            <w:proofErr w:type="spellEnd"/>
            <w:r>
              <w:rPr>
                <w:sz w:val="20"/>
                <w:szCs w:val="20"/>
              </w:rPr>
              <w:t>: Systems, Sustainability, and Society or Values and Ethics</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CNTP 388-Internship/Co-Op Contemporary Arts (fall, spring, or summer)</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CNTP 388-Internship/Co-Op Contemporary Arts (fall, spring, or summer)</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442"/>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450-Capstone Seminar in Music – WI (fall or spring)</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sz w:val="20"/>
                <w:szCs w:val="20"/>
              </w:rPr>
              <w:t>MUSI 450-Capstone Seminar in Music – WI (fall or spring)</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sz w:val="20"/>
                <w:szCs w:val="20"/>
              </w:rPr>
              <w:t>4</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r w:rsidR="002E03A8">
        <w:trPr>
          <w:trHeight w:val="222"/>
          <w:jc w:val="center"/>
        </w:trPr>
        <w:tc>
          <w:tcPr>
            <w:tcW w:w="38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c>
          <w:tcPr>
            <w:tcW w:w="4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pPr>
            <w:r>
              <w:rPr>
                <w:b/>
                <w:bCs/>
                <w:sz w:val="20"/>
                <w:szCs w:val="20"/>
              </w:rPr>
              <w:t>Total:</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044B47">
            <w:pPr>
              <w:pStyle w:val="Body"/>
              <w:jc w:val="center"/>
            </w:pPr>
            <w:r>
              <w:rPr>
                <w:b/>
                <w:bCs/>
                <w:sz w:val="20"/>
                <w:szCs w:val="20"/>
              </w:rPr>
              <w:t>16</w:t>
            </w:r>
          </w:p>
        </w:tc>
        <w:tc>
          <w:tcPr>
            <w:tcW w:w="5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E03A8" w:rsidRDefault="002E03A8"/>
        </w:tc>
      </w:tr>
    </w:tbl>
    <w:p w:rsidR="002E03A8" w:rsidRDefault="002E03A8">
      <w:pPr>
        <w:pStyle w:val="Body"/>
        <w:widowControl w:val="0"/>
        <w:jc w:val="center"/>
      </w:pPr>
    </w:p>
    <w:p w:rsidR="002E03A8" w:rsidRDefault="002E03A8">
      <w:pPr>
        <w:pStyle w:val="Body"/>
        <w:ind w:firstLine="90"/>
        <w:rPr>
          <w:sz w:val="20"/>
          <w:szCs w:val="20"/>
        </w:rPr>
      </w:pPr>
    </w:p>
    <w:p w:rsidR="002E03A8" w:rsidRDefault="00044B47">
      <w:pPr>
        <w:pStyle w:val="Body"/>
        <w:ind w:firstLine="90"/>
        <w:rPr>
          <w:sz w:val="20"/>
          <w:szCs w:val="20"/>
        </w:rPr>
      </w:pPr>
      <w:r>
        <w:rPr>
          <w:b/>
          <w:bCs/>
          <w:sz w:val="20"/>
          <w:szCs w:val="20"/>
        </w:rPr>
        <w:lastRenderedPageBreak/>
        <w:t xml:space="preserve">Total Credits Required: </w:t>
      </w:r>
      <w:r>
        <w:rPr>
          <w:sz w:val="20"/>
          <w:szCs w:val="20"/>
        </w:rPr>
        <w:t>128 credits</w:t>
      </w:r>
    </w:p>
    <w:p w:rsidR="002E03A8" w:rsidRDefault="00044B47">
      <w:pPr>
        <w:pStyle w:val="Body"/>
        <w:rPr>
          <w:sz w:val="20"/>
          <w:szCs w:val="20"/>
        </w:rPr>
      </w:pPr>
      <w:r>
        <w:rPr>
          <w:b/>
          <w:bCs/>
          <w:sz w:val="20"/>
          <w:szCs w:val="20"/>
        </w:rPr>
        <w:t xml:space="preserve">  GPA:</w:t>
      </w:r>
      <w:r>
        <w:rPr>
          <w:sz w:val="20"/>
          <w:szCs w:val="20"/>
        </w:rPr>
        <w:t xml:space="preserve"> 2.0</w:t>
      </w:r>
    </w:p>
    <w:p w:rsidR="002E03A8" w:rsidRDefault="002E03A8">
      <w:pPr>
        <w:pStyle w:val="Body"/>
        <w:rPr>
          <w:sz w:val="20"/>
          <w:szCs w:val="20"/>
        </w:rPr>
      </w:pPr>
    </w:p>
    <w:p w:rsidR="002E03A8" w:rsidRDefault="00044B47">
      <w:pPr>
        <w:pStyle w:val="Body"/>
        <w:rPr>
          <w:sz w:val="20"/>
          <w:szCs w:val="20"/>
        </w:rPr>
      </w:pPr>
      <w:r>
        <w:rPr>
          <w:sz w:val="20"/>
          <w:szCs w:val="20"/>
        </w:rPr>
        <w:t>* Students may take 18 credits without additional tuition.</w:t>
      </w:r>
    </w:p>
    <w:p w:rsidR="002E03A8" w:rsidRDefault="002E03A8">
      <w:pPr>
        <w:pStyle w:val="Body"/>
        <w:rPr>
          <w:sz w:val="20"/>
          <w:szCs w:val="20"/>
        </w:rPr>
      </w:pPr>
    </w:p>
    <w:p w:rsidR="002E03A8" w:rsidRDefault="00044B47">
      <w:pPr>
        <w:pStyle w:val="Body"/>
        <w:rPr>
          <w:sz w:val="20"/>
          <w:szCs w:val="20"/>
        </w:rPr>
      </w:pPr>
      <w:r>
        <w:rPr>
          <w:sz w:val="20"/>
          <w:szCs w:val="20"/>
        </w:rPr>
        <w:t xml:space="preserve">** Students can participate in an ensemble each semester. </w:t>
      </w:r>
    </w:p>
    <w:p w:rsidR="002E03A8" w:rsidRDefault="002E03A8">
      <w:pPr>
        <w:pStyle w:val="Body"/>
        <w:rPr>
          <w:sz w:val="20"/>
          <w:szCs w:val="20"/>
        </w:rPr>
      </w:pPr>
    </w:p>
    <w:p w:rsidR="002E03A8" w:rsidRDefault="00044B47">
      <w:pPr>
        <w:pStyle w:val="Body"/>
        <w:rPr>
          <w:sz w:val="20"/>
          <w:szCs w:val="20"/>
        </w:rPr>
      </w:pPr>
      <w:r>
        <w:rPr>
          <w:sz w:val="20"/>
          <w:szCs w:val="20"/>
        </w:rPr>
        <w:t xml:space="preserve">*** Incoming music majors must take Musicianship placement test to determine appropriate placement. If a student scores 74 or below on this test, take MUSI 121-Music Fundamentals </w:t>
      </w:r>
      <w:r>
        <w:rPr>
          <w:color w:val="333333"/>
          <w:sz w:val="20"/>
          <w:szCs w:val="20"/>
          <w:u w:color="333333"/>
        </w:rPr>
        <w:t>in first term and proceed with the Musicianship sequence thereafter.</w:t>
      </w:r>
    </w:p>
    <w:p w:rsidR="002E03A8" w:rsidRDefault="002E03A8">
      <w:pPr>
        <w:pStyle w:val="Body"/>
        <w:rPr>
          <w:i/>
          <w:iCs/>
          <w:sz w:val="20"/>
          <w:szCs w:val="20"/>
        </w:rPr>
      </w:pPr>
    </w:p>
    <w:p w:rsidR="002E03A8" w:rsidRDefault="00044B47">
      <w:pPr>
        <w:pStyle w:val="Body"/>
        <w:rPr>
          <w:i/>
          <w:iCs/>
          <w:sz w:val="20"/>
          <w:szCs w:val="20"/>
        </w:rPr>
      </w:pPr>
      <w:r>
        <w:rPr>
          <w:sz w:val="20"/>
          <w:szCs w:val="20"/>
        </w:rPr>
        <w:t>**** Many 200-level Music and Culture courses count for the Gen Ed category of Culture and Creativity (CC); check the Catalog.</w:t>
      </w:r>
    </w:p>
    <w:p w:rsidR="002E03A8" w:rsidRDefault="00044B47">
      <w:pPr>
        <w:pStyle w:val="Body"/>
        <w:ind w:firstLine="90"/>
      </w:pPr>
      <w:r>
        <w:rPr>
          <w:sz w:val="20"/>
          <w:szCs w:val="20"/>
        </w:rPr>
        <w:br/>
        <w:t xml:space="preserve">***** Many students in the Music Industry concentration also enroll in the Business Essentials Certificate program conducted by the </w:t>
      </w:r>
      <w:proofErr w:type="spellStart"/>
      <w:r>
        <w:rPr>
          <w:sz w:val="20"/>
          <w:szCs w:val="20"/>
        </w:rPr>
        <w:t>Anisfield</w:t>
      </w:r>
      <w:proofErr w:type="spellEnd"/>
      <w:r>
        <w:rPr>
          <w:sz w:val="20"/>
          <w:szCs w:val="20"/>
        </w:rPr>
        <w:t xml:space="preserve"> School of Business. The 16-credit, four-course program includes a few that are already electives in the Music Industry concentration. For more information, see the website: </w:t>
      </w:r>
      <w:hyperlink r:id="rId7" w:history="1">
        <w:r>
          <w:rPr>
            <w:rStyle w:val="Hyperlink0"/>
          </w:rPr>
          <w:t>https://www.ramapo.edu/asb/essentials/</w:t>
        </w:r>
      </w:hyperlink>
      <w:r>
        <w:rPr>
          <w:rStyle w:val="None"/>
          <w:sz w:val="20"/>
          <w:szCs w:val="20"/>
        </w:rPr>
        <w:t xml:space="preserve">. </w:t>
      </w:r>
    </w:p>
    <w:sectPr w:rsidR="002E03A8">
      <w:headerReference w:type="default" r:id="rId8"/>
      <w:footerReference w:type="default" r:id="rId9"/>
      <w:pgSz w:w="12240" w:h="15840"/>
      <w:pgMar w:top="360" w:right="630" w:bottom="36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348" w:rsidRDefault="003C7348">
      <w:r>
        <w:separator/>
      </w:r>
    </w:p>
  </w:endnote>
  <w:endnote w:type="continuationSeparator" w:id="0">
    <w:p w:rsidR="003C7348" w:rsidRDefault="003C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A8" w:rsidRDefault="002E03A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348" w:rsidRDefault="003C7348">
      <w:r>
        <w:separator/>
      </w:r>
    </w:p>
  </w:footnote>
  <w:footnote w:type="continuationSeparator" w:id="0">
    <w:p w:rsidR="003C7348" w:rsidRDefault="003C7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3A8" w:rsidRDefault="00044B47">
    <w:pPr>
      <w:pStyle w:val="HeaderFooter"/>
    </w:pPr>
    <w:r>
      <w:rPr>
        <w:noProof/>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tangle"/>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A8"/>
    <w:rsid w:val="00044B47"/>
    <w:rsid w:val="002E03A8"/>
    <w:rsid w:val="003C7348"/>
    <w:rsid w:val="00E6067A"/>
    <w:rsid w:val="00F6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3903"/>
  <w15:docId w15:val="{AD0FDB21-79A2-4A46-A8EE-C4DF3D402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ramapo.edu/asb/essentia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mgreer2</cp:lastModifiedBy>
  <cp:revision>2</cp:revision>
  <dcterms:created xsi:type="dcterms:W3CDTF">2024-01-29T19:54:00Z</dcterms:created>
  <dcterms:modified xsi:type="dcterms:W3CDTF">2024-01-29T19:54:00Z</dcterms:modified>
</cp:coreProperties>
</file>