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spacing w:line="276" w:lineRule="auto"/>
      </w:pPr>
    </w:p>
    <w:p>
      <w:pPr>
        <w:pStyle w:val="Body"/>
      </w:pPr>
      <w:r>
        <w:drawing xmlns:a="http://schemas.openxmlformats.org/drawingml/2006/main">
          <wp:anchor distT="0" distB="0" distL="0" distR="0" simplePos="0" relativeHeight="251657216" behindDoc="1" locked="0" layoutInCell="1" allowOverlap="1">
            <wp:simplePos x="0" y="0"/>
            <wp:positionH relativeFrom="column">
              <wp:posOffset>114300</wp:posOffset>
            </wp:positionH>
            <wp:positionV relativeFrom="line">
              <wp:posOffset>0</wp:posOffset>
            </wp:positionV>
            <wp:extent cx="1543050" cy="552450"/>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1543050" cy="552450"/>
                    </a:xfrm>
                    <a:prstGeom prst="rect">
                      <a:avLst/>
                    </a:prstGeom>
                    <a:ln w="12700" cap="flat">
                      <a:noFill/>
                      <a:miter lim="400000"/>
                    </a:ln>
                    <a:effectLst/>
                  </pic:spPr>
                </pic:pic>
              </a:graphicData>
            </a:graphic>
          </wp:anchor>
        </w:drawing>
      </w:r>
    </w:p>
    <w:tbl>
      <w:tblPr>
        <w:tblW w:w="1094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246"/>
        <w:gridCol w:w="5697"/>
      </w:tblGrid>
      <w:tr>
        <w:tblPrEx>
          <w:shd w:val="clear" w:color="auto" w:fill="ced7e7"/>
        </w:tblPrEx>
        <w:trPr>
          <w:trHeight w:val="319" w:hRule="atLeast"/>
        </w:trPr>
        <w:tc>
          <w:tcPr>
            <w:tcW w:type="dxa" w:w="5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6"/>
                <w:szCs w:val="26"/>
                <w:shd w:val="nil" w:color="auto" w:fill="auto"/>
                <w:rtl w:val="0"/>
                <w:lang w:val="en-US"/>
              </w:rPr>
              <w:t>School of Social Science and Human Services</w:t>
            </w:r>
          </w:p>
        </w:tc>
      </w:tr>
    </w:tbl>
    <w:p>
      <w:pPr>
        <w:pStyle w:val="Body"/>
        <w:widowControl w:val="0"/>
      </w:pPr>
    </w:p>
    <w:p>
      <w:pPr>
        <w:pStyle w:val="Body"/>
        <w:rPr>
          <w:b w:val="1"/>
          <w:bCs w:val="1"/>
          <w:sz w:val="28"/>
          <w:szCs w:val="28"/>
        </w:rPr>
      </w:pPr>
    </w:p>
    <w:p>
      <w:pPr>
        <w:pStyle w:val="Body"/>
        <w:rPr>
          <w:b w:val="1"/>
          <w:bCs w:val="1"/>
          <w:sz w:val="28"/>
          <w:szCs w:val="28"/>
        </w:rPr>
      </w:pPr>
      <w:r>
        <w:rPr>
          <w:b w:val="1"/>
          <w:bCs w:val="1"/>
          <w:sz w:val="28"/>
          <w:szCs w:val="28"/>
          <w:rtl w:val="0"/>
        </w:rPr>
        <w:t>Sustainability</w:t>
      </w:r>
    </w:p>
    <w:p>
      <w:pPr>
        <w:pStyle w:val="Body"/>
        <w:rPr>
          <w:sz w:val="20"/>
          <w:szCs w:val="20"/>
        </w:rPr>
      </w:pPr>
      <w:r>
        <w:rPr>
          <w:sz w:val="20"/>
          <w:szCs w:val="20"/>
          <w:rtl w:val="0"/>
          <w:lang w:val="en-US"/>
        </w:rPr>
        <w:t>Four-Year Plan (Fall 2023)</w:t>
      </w:r>
    </w:p>
    <w:p>
      <w:pPr>
        <w:pStyle w:val="Body"/>
        <w:rPr>
          <w:sz w:val="20"/>
          <w:szCs w:val="20"/>
        </w:rPr>
      </w:pPr>
      <w:r>
        <w:rPr>
          <w:sz w:val="20"/>
          <w:szCs w:val="20"/>
          <w:rtl w:val="0"/>
          <w:lang w:val="en-US"/>
        </w:rPr>
        <w:t xml:space="preserve">The recommended four-year plan is designed to provide a blueprint for students to complete their degrees within four years. </w:t>
      </w:r>
      <w:r>
        <w:rPr>
          <w:b w:val="1"/>
          <w:bCs w:val="1"/>
          <w:sz w:val="20"/>
          <w:szCs w:val="20"/>
          <w:rtl w:val="0"/>
          <w:lang w:val="en-US"/>
        </w:rPr>
        <w:t>Students must meet very early with their Major Advisor if they intend to take one or more Minors, or a second Major,  to develop a more individualized plan to complete their degree.</w:t>
      </w:r>
      <w:r>
        <w:rPr>
          <w:sz w:val="20"/>
          <w:szCs w:val="20"/>
          <w:rtl w:val="0"/>
          <w:lang w:val="en-US"/>
        </w:rPr>
        <w:t xml:space="preserve"> This plan assumes that no developmental courses are required. If developmental courses are needed, students may have additional requirements to fulfill. which are not listed in this plan and may either cut the number of Minors you can take, or, in the case of a second Major, extend degree completion. </w:t>
      </w:r>
      <w:r>
        <w:rPr>
          <w:b w:val="1"/>
          <w:bCs w:val="1"/>
          <w:outline w:val="0"/>
          <w:color w:val="000000"/>
          <w:sz w:val="20"/>
          <w:szCs w:val="20"/>
          <w:u w:color="000000"/>
          <w:rtl w:val="0"/>
          <w:lang w:val="en-US"/>
          <w14:textFill>
            <w14:solidFill>
              <w14:srgbClr w14:val="000000"/>
            </w14:solidFill>
          </w14:textFill>
        </w:rPr>
        <w:t>Every course in this plan is placed with thought.</w:t>
      </w:r>
      <w:r>
        <w:rPr>
          <w:b w:val="1"/>
          <w:bCs w:val="1"/>
          <w:outline w:val="0"/>
          <w:color w:val="000000"/>
          <w:sz w:val="20"/>
          <w:szCs w:val="20"/>
          <w:u w:color="000000"/>
          <w:rtl w:val="0"/>
          <w14:textFill>
            <w14:solidFill>
              <w14:srgbClr w14:val="000000"/>
            </w14:solidFill>
          </w14:textFill>
        </w:rPr>
        <w:t xml:space="preserve">  </w:t>
      </w:r>
      <w:r>
        <w:rPr>
          <w:b w:val="1"/>
          <w:bCs w:val="1"/>
          <w:outline w:val="0"/>
          <w:color w:val="000000"/>
          <w:sz w:val="20"/>
          <w:szCs w:val="20"/>
          <w:u w:color="000000"/>
          <w:rtl w:val="0"/>
          <w:lang w:val="en-US"/>
          <w14:textFill>
            <w14:solidFill>
              <w14:srgbClr w14:val="000000"/>
            </w14:solidFill>
          </w14:textFill>
        </w:rPr>
        <w:t>You will be best served if you either follow this plan or work closely with the Convenor before making any adjustments.</w:t>
      </w:r>
    </w:p>
    <w:p>
      <w:pPr>
        <w:pStyle w:val="Body"/>
        <w:rPr>
          <w:sz w:val="20"/>
          <w:szCs w:val="20"/>
        </w:rPr>
      </w:pPr>
      <w:r>
        <w:rPr>
          <w:sz w:val="20"/>
          <w:szCs w:val="20"/>
          <w:rtl w:val="0"/>
          <w:lang w:val="en-US"/>
        </w:rPr>
        <w:t>NOTE: This recommended Four-Year Plan is applicable to students admitted into the major during the 2023-2024 academic year.</w:t>
      </w:r>
    </w:p>
    <w:p>
      <w:pPr>
        <w:pStyle w:val="Body"/>
        <w:rPr>
          <w:sz w:val="16"/>
          <w:szCs w:val="16"/>
        </w:rPr>
      </w:pPr>
      <w:r>
        <w:rPr>
          <w:outline w:val="0"/>
          <w:color w:val="000000"/>
          <w:sz w:val="20"/>
          <w:szCs w:val="20"/>
          <w:u w:color="000000"/>
          <w:rtl w:val="0"/>
          <w:lang w:val="en-US"/>
          <w14:textFill>
            <w14:solidFill>
              <w14:srgbClr w14:val="000000"/>
            </w14:solidFill>
          </w14:textFill>
        </w:rPr>
        <w:t>NOTE: There are 10 slots for Minors /Electives (TWO Minors possible, if you choose 5-course Minors AND follow this plan</w:t>
      </w:r>
    </w:p>
    <w:p>
      <w:pPr>
        <w:pStyle w:val="Body"/>
        <w:rPr>
          <w:sz w:val="8"/>
          <w:szCs w:val="8"/>
        </w:rPr>
      </w:pPr>
    </w:p>
    <w:tbl>
      <w:tblPr>
        <w:tblW w:w="1087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85"/>
        <w:gridCol w:w="795"/>
        <w:gridCol w:w="555"/>
        <w:gridCol w:w="3990"/>
        <w:gridCol w:w="825"/>
        <w:gridCol w:w="525"/>
      </w:tblGrid>
      <w:tr>
        <w:tblPrEx>
          <w:shd w:val="clear" w:color="auto" w:fill="ced7e7"/>
        </w:tblPrEx>
        <w:trPr>
          <w:trHeight w:val="318" w:hRule="atLeast"/>
        </w:trPr>
        <w:tc>
          <w:tcPr>
            <w:tcW w:type="dxa" w:w="10875"/>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First Year</w:t>
            </w:r>
          </w:p>
        </w:tc>
      </w:tr>
      <w:tr>
        <w:tblPrEx>
          <w:shd w:val="clear" w:color="auto" w:fill="ced7e7"/>
        </w:tblPrEx>
        <w:trPr>
          <w:trHeight w:val="330" w:hRule="atLeast"/>
        </w:trPr>
        <w:tc>
          <w:tcPr>
            <w:tcW w:type="dxa" w:w="41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b w:val="0"/>
                <w:bCs w:val="0"/>
                <w:shd w:val="nil" w:color="auto" w:fill="auto"/>
                <w:rtl w:val="0"/>
                <w:lang w:val="en-US"/>
              </w:rPr>
              <w:t>✓</w:t>
            </w:r>
          </w:p>
        </w:tc>
        <w:tc>
          <w:tcPr>
            <w:tcW w:type="dxa" w:w="3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b w:val="0"/>
                <w:bCs w:val="0"/>
                <w:shd w:val="nil" w:color="auto" w:fill="auto"/>
                <w:rtl w:val="0"/>
                <w:lang w:val="en-US"/>
              </w:rPr>
              <w:t>✓</w:t>
            </w:r>
          </w:p>
        </w:tc>
      </w:tr>
      <w:tr>
        <w:tblPrEx>
          <w:shd w:val="clear" w:color="auto" w:fill="ced7e7"/>
        </w:tblPrEx>
        <w:trPr>
          <w:trHeight w:val="300" w:hRule="atLeast"/>
        </w:trPr>
        <w:tc>
          <w:tcPr>
            <w:tcW w:type="dxa" w:w="41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shd w:val="nil" w:color="auto" w:fill="auto"/>
                <w:rtl w:val="0"/>
                <w:lang w:val="en-US"/>
              </w:rPr>
              <w:t>Gen Ed: INTD 101-First Year Seminar</w:t>
            </w:r>
          </w:p>
        </w:tc>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sz w:val="20"/>
                <w:szCs w:val="20"/>
                <w:shd w:val="nil" w:color="auto" w:fill="auto"/>
                <w:rtl w:val="0"/>
                <w:lang w:val="en-US"/>
              </w:rPr>
              <w:t>Gen Ed: Quantitative Reasoning</w:t>
            </w:r>
          </w:p>
        </w:tc>
        <w:tc>
          <w:tcPr>
            <w:tcW w:type="dxa" w:w="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62" w:hRule="atLeast"/>
        </w:trPr>
        <w:tc>
          <w:tcPr>
            <w:tcW w:type="dxa" w:w="41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shd w:val="nil" w:color="auto" w:fill="auto"/>
                <w:rtl w:val="0"/>
                <w:lang w:val="en-US"/>
              </w:rPr>
              <w:t>Gen Ed: SOSC 101-Social Science Inquiry</w:t>
            </w:r>
          </w:p>
        </w:tc>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shd w:val="nil" w:color="auto" w:fill="auto"/>
                <w:rtl w:val="0"/>
                <w:lang w:val="en-US"/>
              </w:rPr>
              <w:t>Gen Ed: Scientific Reasoning-ENSC 103, Intro to Environmental Science (Recommended)</w:t>
            </w:r>
          </w:p>
        </w:tc>
        <w:tc>
          <w:tcPr>
            <w:tcW w:type="dxa" w:w="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1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shd w:val="nil" w:color="auto" w:fill="auto"/>
                <w:rtl w:val="0"/>
                <w:lang w:val="en-US"/>
              </w:rPr>
              <w:t>Gen Ed: CRWT 102-Critical Reading &amp; Writing</w:t>
            </w:r>
          </w:p>
        </w:tc>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shd w:val="nil" w:color="auto" w:fill="auto"/>
                <w:rtl w:val="0"/>
                <w:lang w:val="en-US"/>
              </w:rPr>
              <w:t>Gen Ed: AIID 201 - Studies in the Arts and Humanities</w:t>
            </w:r>
          </w:p>
        </w:tc>
        <w:tc>
          <w:tcPr>
            <w:tcW w:type="dxa" w:w="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62" w:hRule="atLeast"/>
        </w:trPr>
        <w:tc>
          <w:tcPr>
            <w:tcW w:type="dxa" w:w="41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shd w:val="nil" w:color="auto" w:fill="auto"/>
                <w:rtl w:val="0"/>
                <w:lang w:val="en-US"/>
              </w:rPr>
              <w:t>Gen Ed: Historical Perspective</w:t>
            </w:r>
          </w:p>
        </w:tc>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shd w:val="nil" w:color="auto" w:fill="auto"/>
                <w:rtl w:val="0"/>
                <w:lang w:val="en-US"/>
              </w:rPr>
              <w:t>School Core</w:t>
            </w:r>
            <w:r>
              <w:rPr>
                <w:sz w:val="20"/>
                <w:szCs w:val="20"/>
                <w:shd w:val="nil" w:color="auto" w:fill="auto"/>
                <w:rtl w:val="0"/>
                <w:lang w:val="en-US"/>
              </w:rPr>
              <w:t>: Intro Course Outside the Major - LAWS 131, (OR) SOCI 101 (OR), PSYC 101, (OR) EDUC 221</w:t>
            </w:r>
          </w:p>
        </w:tc>
        <w:tc>
          <w:tcPr>
            <w:tcW w:type="dxa" w:w="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62" w:hRule="atLeast"/>
        </w:trPr>
        <w:tc>
          <w:tcPr>
            <w:tcW w:type="dxa" w:w="41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b w:val="1"/>
                <w:bCs w:val="1"/>
                <w:sz w:val="20"/>
                <w:szCs w:val="20"/>
                <w:shd w:val="nil" w:color="auto" w:fill="auto"/>
                <w:rtl w:val="0"/>
                <w:lang w:val="en-US"/>
              </w:rPr>
              <w:t>Career Pathways Module 1</w:t>
            </w:r>
            <w:r>
              <w:rPr>
                <w:sz w:val="20"/>
                <w:szCs w:val="20"/>
                <w:shd w:val="nil" w:color="auto" w:fill="auto"/>
                <w:rtl w:val="0"/>
                <w:lang w:val="en-US"/>
              </w:rPr>
              <w:t>: PATH SS1 - Career Assessment/Advisor Visit SSHS Advisor in Cahill Center (C209)</w:t>
            </w:r>
          </w:p>
        </w:tc>
        <w:tc>
          <w:tcPr>
            <w:tcW w:type="dxa" w:w="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z w:val="20"/>
                <w:szCs w:val="20"/>
                <w:shd w:val="nil" w:color="auto" w:fill="auto"/>
                <w:rtl w:val="0"/>
                <w:lang w:val="en-US"/>
              </w:rPr>
              <w:t>Degree</w:t>
            </w:r>
            <w:r>
              <w:rPr>
                <w:sz w:val="20"/>
                <w:szCs w:val="20"/>
                <w:shd w:val="nil" w:color="auto" w:fill="auto"/>
                <w:lang w:val="en-US"/>
              </w:rPr>
              <w:br w:type="textWrapping"/>
            </w:r>
            <w:r>
              <w:rPr>
                <w:sz w:val="20"/>
                <w:szCs w:val="20"/>
                <w:shd w:val="nil" w:color="auto" w:fill="auto"/>
                <w:rtl w:val="0"/>
                <w:lang w:val="en-US"/>
              </w:rPr>
              <w:t>Rqmt</w:t>
            </w:r>
            <w:r>
              <w:rPr>
                <w:shd w:val="nil" w:color="auto" w:fill="auto"/>
                <w:rtl w:val="0"/>
                <w:lang w:val="en-US"/>
              </w:rPr>
              <w:t>.</w:t>
            </w:r>
          </w:p>
        </w:tc>
        <w:tc>
          <w:tcPr>
            <w:tcW w:type="dxa" w:w="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sz w:val="8"/>
          <w:szCs w:val="8"/>
        </w:rPr>
      </w:pPr>
    </w:p>
    <w:p>
      <w:pPr>
        <w:pStyle w:val="Body"/>
        <w:rPr>
          <w:b w:val="1"/>
          <w:bCs w:val="1"/>
          <w:sz w:val="2"/>
          <w:szCs w:val="2"/>
        </w:rPr>
      </w:pPr>
    </w:p>
    <w:tbl>
      <w:tblPr>
        <w:tblW w:w="1087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89"/>
        <w:gridCol w:w="830"/>
        <w:gridCol w:w="520"/>
        <w:gridCol w:w="3989"/>
        <w:gridCol w:w="830"/>
        <w:gridCol w:w="520"/>
      </w:tblGrid>
      <w:tr>
        <w:tblPrEx>
          <w:shd w:val="clear" w:color="auto" w:fill="ced7e7"/>
        </w:tblPrEx>
        <w:trPr>
          <w:trHeight w:val="318" w:hRule="atLeast"/>
        </w:trPr>
        <w:tc>
          <w:tcPr>
            <w:tcW w:type="dxa" w:w="1087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Second Year</w:t>
            </w:r>
          </w:p>
        </w:tc>
      </w:tr>
      <w:tr>
        <w:tblPrEx>
          <w:shd w:val="clear" w:color="auto" w:fill="ced7e7"/>
        </w:tblPrEx>
        <w:trPr>
          <w:trHeight w:val="330" w:hRule="atLeast"/>
        </w:trPr>
        <w:tc>
          <w:tcPr>
            <w:tcW w:type="dxa" w:w="4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rFonts w:ascii="Arial Unicode MS" w:hAnsi="Arial Unicode MS" w:hint="default"/>
                <w:b w:val="0"/>
                <w:bCs w:val="0"/>
                <w:shd w:val="nil" w:color="auto" w:fill="auto"/>
                <w:rtl w:val="0"/>
                <w:lang w:val="en-US"/>
              </w:rPr>
              <w:t>✓</w:t>
            </w:r>
          </w:p>
        </w:tc>
        <w:tc>
          <w:tcPr>
            <w:tcW w:type="dxa" w:w="3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rFonts w:ascii="Arial Unicode MS" w:hAnsi="Arial Unicode MS" w:hint="default"/>
                <w:b w:val="0"/>
                <w:bCs w:val="0"/>
                <w:shd w:val="nil" w:color="auto" w:fill="auto"/>
                <w:rtl w:val="0"/>
                <w:lang w:val="en-US"/>
              </w:rPr>
              <w:t>✓</w:t>
            </w:r>
          </w:p>
        </w:tc>
      </w:tr>
      <w:tr>
        <w:tblPrEx>
          <w:shd w:val="clear" w:color="auto" w:fill="ced7e7"/>
        </w:tblPrEx>
        <w:trPr>
          <w:trHeight w:val="442" w:hRule="atLeast"/>
        </w:trPr>
        <w:tc>
          <w:tcPr>
            <w:tcW w:type="dxa" w:w="4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b w:val="1"/>
                <w:bCs w:val="1"/>
                <w:sz w:val="20"/>
                <w:szCs w:val="20"/>
                <w:shd w:val="nil" w:color="auto" w:fill="auto"/>
                <w:rtl w:val="0"/>
                <w:lang w:val="en-US"/>
              </w:rPr>
              <w:t>Gen Ed: Values and Ethics-SUST 210 Business and Sustainability</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b w:val="1"/>
                <w:bCs w:val="1"/>
                <w:sz w:val="20"/>
                <w:szCs w:val="20"/>
                <w:shd w:val="nil" w:color="auto" w:fill="auto"/>
                <w:rtl w:val="0"/>
                <w:lang w:val="en-US"/>
              </w:rPr>
              <w:t>Major: SUST 310-Foundational Integrative Seminar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90" w:hRule="atLeast"/>
        </w:trPr>
        <w:tc>
          <w:tcPr>
            <w:tcW w:type="dxa" w:w="4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b w:val="1"/>
                <w:bCs w:val="1"/>
                <w:sz w:val="20"/>
                <w:szCs w:val="20"/>
                <w:shd w:val="nil" w:color="auto" w:fill="auto"/>
                <w:rtl w:val="0"/>
                <w:lang w:val="en-US"/>
              </w:rPr>
              <w:t>ENSC 230: Sustainable Natural Resources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rFonts w:ascii="Cambria" w:hAnsi="Cambria"/>
                <w:b w:val="1"/>
                <w:bCs w:val="1"/>
                <w:sz w:val="20"/>
                <w:szCs w:val="20"/>
                <w:shd w:val="nil" w:color="auto" w:fill="auto"/>
                <w:rtl w:val="0"/>
                <w:lang w:val="en-US"/>
              </w:rPr>
              <w:t>Gen Ed: Culture and Creativity  (outside SSHS)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4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b w:val="1"/>
                <w:bCs w:val="1"/>
                <w:sz w:val="20"/>
                <w:szCs w:val="20"/>
                <w:shd w:val="nil" w:color="auto" w:fill="auto"/>
                <w:rtl w:val="0"/>
                <w:lang w:val="en-US"/>
              </w:rPr>
              <w:t>Major: ENST 223 Energy and Society</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b w:val="0"/>
                <w:bCs w:val="0"/>
                <w:sz w:val="20"/>
                <w:szCs w:val="20"/>
                <w:shd w:val="nil" w:color="auto" w:fill="auto"/>
                <w:rtl w:val="0"/>
                <w:lang w:val="en-US"/>
              </w:rPr>
              <w:t>SOSC 235: History of Social Thought</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62" w:hRule="atLeast"/>
        </w:trPr>
        <w:tc>
          <w:tcPr>
            <w:tcW w:type="dxa" w:w="4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b w:val="1"/>
                <w:bCs w:val="1"/>
                <w:sz w:val="20"/>
                <w:szCs w:val="20"/>
                <w:shd w:val="nil" w:color="auto" w:fill="auto"/>
                <w:rtl w:val="0"/>
                <w:lang w:val="en-US"/>
              </w:rPr>
              <w:t>Gen Ed: Global Awareness-ENST 209 World Sustainability</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Major: One Disciplinary Cluster Course</w:t>
            </w:r>
            <w:r>
              <w:rPr>
                <w:outline w:val="0"/>
                <w:color w:val="ff0000"/>
                <w:sz w:val="20"/>
                <w:szCs w:val="20"/>
                <w:u w:color="ff0000"/>
                <w:shd w:val="nil" w:color="auto" w:fill="auto"/>
                <w:rtl w:val="0"/>
                <w:lang w:val="en-US"/>
                <w14:textFill>
                  <w14:solidFill>
                    <w14:srgbClr w14:val="FF0000"/>
                  </w14:solidFill>
                </w14:textFill>
              </w:rPr>
              <w:t xml:space="preserve"> </w:t>
            </w:r>
            <w:r>
              <w:rPr>
                <w:sz w:val="20"/>
                <w:szCs w:val="20"/>
                <w:shd w:val="nil" w:color="auto" w:fill="auto"/>
                <w:rtl w:val="0"/>
                <w:lang w:val="en-US"/>
              </w:rPr>
              <w:t>(1st course for your 1st Minor here, or count toward your 2</w:t>
            </w:r>
            <w:r>
              <w:rPr>
                <w:sz w:val="20"/>
                <w:szCs w:val="20"/>
                <w:shd w:val="nil" w:color="auto" w:fill="auto"/>
                <w:vertAlign w:val="superscript"/>
                <w:rtl w:val="0"/>
                <w:lang w:val="en-US"/>
              </w:rPr>
              <w:t>nd</w:t>
            </w:r>
            <w:r>
              <w:rPr>
                <w:sz w:val="20"/>
                <w:szCs w:val="20"/>
                <w:shd w:val="nil" w:color="auto" w:fill="auto"/>
                <w:rtl w:val="0"/>
                <w:lang w:val="en-US"/>
              </w:rPr>
              <w:t xml:space="preserve"> Major)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740" w:hRule="atLeast"/>
        </w:trPr>
        <w:tc>
          <w:tcPr>
            <w:tcW w:type="dxa" w:w="4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shd w:val="nil" w:color="auto" w:fill="auto"/>
                <w:rtl w:val="0"/>
                <w:lang w:val="en-US"/>
              </w:rPr>
              <w:t>Career Pathways Module 2</w:t>
            </w:r>
            <w:r>
              <w:rPr>
                <w:sz w:val="20"/>
                <w:szCs w:val="20"/>
                <w:shd w:val="nil" w:color="auto" w:fill="auto"/>
                <w:rtl w:val="0"/>
                <w:lang w:val="en-US"/>
              </w:rPr>
              <w:t>: PATH SS2 -  Resume/Cover Letter/Personal Statement Visit SSHS Advisor in Cahill Center (C209)</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Degree</w:t>
            </w:r>
            <w:r>
              <w:rPr>
                <w:shd w:val="nil" w:color="auto" w:fill="auto"/>
                <w:rtl w:val="0"/>
                <w:lang w:val="en-US"/>
              </w:rPr>
              <w:t>Rqmt.</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shd w:val="nil" w:color="auto" w:fill="auto"/>
                <w:rtl w:val="0"/>
                <w:lang w:val="en-US"/>
              </w:rPr>
              <w:t>Career Pathways Module 3</w:t>
            </w:r>
            <w:r>
              <w:rPr>
                <w:sz w:val="20"/>
                <w:szCs w:val="20"/>
                <w:shd w:val="nil" w:color="auto" w:fill="auto"/>
                <w:rtl w:val="0"/>
                <w:lang w:val="en-US"/>
              </w:rPr>
              <w:t>: PATH SS3 - Interview Practice/Internship Search Visit SSHS Advisor in Cahill Center (C209)</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DegreeGrad. Rqmt</w:t>
            </w:r>
            <w:r>
              <w:rPr>
                <w:shd w:val="nil" w:color="auto" w:fill="auto"/>
                <w:rtl w:val="0"/>
                <w:lang w:val="en-US"/>
              </w:rPr>
              <w:t>.</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4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Body"/>
        <w:widowControl w:val="0"/>
        <w:jc w:val="center"/>
        <w:rPr>
          <w:b w:val="1"/>
          <w:bCs w:val="1"/>
          <w:sz w:val="2"/>
          <w:szCs w:val="2"/>
        </w:rPr>
      </w:pPr>
    </w:p>
    <w:p>
      <w:pPr>
        <w:pStyle w:val="Body"/>
        <w:rPr>
          <w:b w:val="1"/>
          <w:bCs w:val="1"/>
          <w:sz w:val="2"/>
          <w:szCs w:val="2"/>
        </w:rPr>
      </w:pPr>
    </w:p>
    <w:tbl>
      <w:tblPr>
        <w:tblW w:w="1088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90"/>
        <w:gridCol w:w="830"/>
        <w:gridCol w:w="520"/>
        <w:gridCol w:w="3990"/>
        <w:gridCol w:w="830"/>
        <w:gridCol w:w="520"/>
      </w:tblGrid>
      <w:tr>
        <w:tblPrEx>
          <w:shd w:val="clear" w:color="auto" w:fill="ced7e7"/>
        </w:tblPrEx>
        <w:trPr>
          <w:trHeight w:val="318" w:hRule="atLeast"/>
        </w:trPr>
        <w:tc>
          <w:tcPr>
            <w:tcW w:type="dxa" w:w="10880"/>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Third Year</w:t>
            </w:r>
          </w:p>
        </w:tc>
      </w:tr>
      <w:tr>
        <w:tblPrEx>
          <w:shd w:val="clear" w:color="auto" w:fill="ced7e7"/>
        </w:tblPrEx>
        <w:trPr>
          <w:trHeight w:val="330" w:hRule="atLeast"/>
        </w:trPr>
        <w:tc>
          <w:tcPr>
            <w:tcW w:type="dxa" w:w="4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b w:val="0"/>
                <w:bCs w:val="0"/>
                <w:shd w:val="nil" w:color="auto" w:fill="auto"/>
                <w:rtl w:val="0"/>
                <w:lang w:val="en-US"/>
              </w:rPr>
              <w:t>✓</w:t>
            </w:r>
          </w:p>
        </w:tc>
        <w:tc>
          <w:tcPr>
            <w:tcW w:type="dxa" w:w="3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b w:val="0"/>
                <w:bCs w:val="0"/>
                <w:shd w:val="nil" w:color="auto" w:fill="auto"/>
                <w:rtl w:val="0"/>
                <w:lang w:val="en-US"/>
              </w:rPr>
              <w:t>✓</w:t>
            </w:r>
          </w:p>
        </w:tc>
      </w:tr>
      <w:tr>
        <w:tblPrEx>
          <w:shd w:val="clear" w:color="auto" w:fill="ced7e7"/>
        </w:tblPrEx>
        <w:trPr>
          <w:trHeight w:val="442" w:hRule="atLeast"/>
        </w:trPr>
        <w:tc>
          <w:tcPr>
            <w:tcW w:type="dxa" w:w="4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shd w:val="nil" w:color="auto" w:fill="auto"/>
                <w:rtl w:val="0"/>
                <w:lang w:val="en-US"/>
              </w:rPr>
              <w:t>Major: SUST 315-Sustainability Leadership or MGMT 302 Organizational Behavior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shd w:val="nil" w:color="auto" w:fill="auto"/>
                <w:rtl w:val="0"/>
                <w:lang w:val="en-US"/>
              </w:rPr>
              <w:t xml:space="preserve">Major: ENST 317 </w:t>
            </w:r>
            <w:r>
              <w:rPr>
                <w:b w:val="1"/>
                <w:bCs w:val="1"/>
                <w:sz w:val="20"/>
                <w:szCs w:val="20"/>
                <w:shd w:val="nil" w:color="auto" w:fill="auto"/>
                <w:rtl w:val="0"/>
                <w:lang w:val="en-US"/>
              </w:rPr>
              <w:t xml:space="preserve">– </w:t>
            </w:r>
            <w:r>
              <w:rPr>
                <w:b w:val="1"/>
                <w:bCs w:val="1"/>
                <w:sz w:val="20"/>
                <w:szCs w:val="20"/>
                <w:shd w:val="nil" w:color="auto" w:fill="auto"/>
                <w:rtl w:val="0"/>
                <w:lang w:val="en-US"/>
              </w:rPr>
              <w:t>Environmental Policy</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62" w:hRule="atLeast"/>
        </w:trPr>
        <w:tc>
          <w:tcPr>
            <w:tcW w:type="dxa" w:w="4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 xml:space="preserve">Major: Disciplinary Cluster Course </w:t>
            </w:r>
          </w:p>
          <w:p>
            <w:pPr>
              <w:pStyle w:val="Body"/>
              <w:bidi w:val="0"/>
              <w:ind w:left="0" w:right="0" w:firstLine="0"/>
              <w:jc w:val="left"/>
              <w:rPr>
                <w:rtl w:val="0"/>
              </w:rPr>
            </w:pPr>
            <w:r>
              <w:rPr>
                <w:sz w:val="20"/>
                <w:szCs w:val="20"/>
                <w:shd w:val="nil" w:color="auto" w:fill="auto"/>
                <w:rtl w:val="0"/>
                <w:lang w:val="en-US"/>
              </w:rPr>
              <w:t>(2nd course for your 1st Minor here, or count toward your 2</w:t>
            </w:r>
            <w:r>
              <w:rPr>
                <w:sz w:val="20"/>
                <w:szCs w:val="20"/>
                <w:shd w:val="nil" w:color="auto" w:fill="auto"/>
                <w:vertAlign w:val="superscript"/>
                <w:rtl w:val="0"/>
                <w:lang w:val="en-US"/>
              </w:rPr>
              <w:t>nd</w:t>
            </w:r>
            <w:r>
              <w:rPr>
                <w:sz w:val="20"/>
                <w:szCs w:val="20"/>
                <w:shd w:val="nil" w:color="auto" w:fill="auto"/>
                <w:rtl w:val="0"/>
                <w:lang w:val="en-US"/>
              </w:rPr>
              <w:t xml:space="preserve"> Major)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Major: Disciplinary Cluster Course (Use your  (3rd course for your 1st Minor here, or count toward your 2</w:t>
            </w:r>
            <w:r>
              <w:rPr>
                <w:sz w:val="20"/>
                <w:szCs w:val="20"/>
                <w:shd w:val="nil" w:color="auto" w:fill="auto"/>
                <w:vertAlign w:val="superscript"/>
                <w:rtl w:val="0"/>
                <w:lang w:val="en-US"/>
              </w:rPr>
              <w:t>nd</w:t>
            </w:r>
            <w:r>
              <w:rPr>
                <w:sz w:val="20"/>
                <w:szCs w:val="20"/>
                <w:shd w:val="nil" w:color="auto" w:fill="auto"/>
                <w:rtl w:val="0"/>
                <w:lang w:val="en-US"/>
              </w:rPr>
              <w:t xml:space="preserve"> Major)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shd w:val="nil" w:color="auto" w:fill="auto"/>
                <w:rtl w:val="0"/>
                <w:lang w:val="en-US"/>
              </w:rPr>
              <w:t>Major: SUST 320-Methods in Sustainability/SOCI 307: Methods with Computers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 Elective (or) 2nd  major (or) minor(s) course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 Elective (or) 2nd  major (or) minor(s) course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 Elective (or) 2nd  major (or) minor(s) course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b w:val="1"/>
          <w:bCs w:val="1"/>
          <w:sz w:val="2"/>
          <w:szCs w:val="2"/>
        </w:rPr>
      </w:pPr>
    </w:p>
    <w:p>
      <w:pPr>
        <w:pStyle w:val="Body"/>
        <w:rPr>
          <w:b w:val="1"/>
          <w:bCs w:val="1"/>
          <w:sz w:val="2"/>
          <w:szCs w:val="2"/>
        </w:rPr>
      </w:pPr>
    </w:p>
    <w:tbl>
      <w:tblPr>
        <w:tblW w:w="1087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89"/>
        <w:gridCol w:w="830"/>
        <w:gridCol w:w="520"/>
        <w:gridCol w:w="3989"/>
        <w:gridCol w:w="830"/>
        <w:gridCol w:w="520"/>
      </w:tblGrid>
      <w:tr>
        <w:tblPrEx>
          <w:shd w:val="clear" w:color="auto" w:fill="ced7e7"/>
        </w:tblPrEx>
        <w:trPr>
          <w:trHeight w:val="318" w:hRule="atLeast"/>
        </w:trPr>
        <w:tc>
          <w:tcPr>
            <w:tcW w:type="dxa" w:w="10878"/>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Fourth Year</w:t>
            </w:r>
          </w:p>
        </w:tc>
      </w:tr>
      <w:tr>
        <w:tblPrEx>
          <w:shd w:val="clear" w:color="auto" w:fill="ced7e7"/>
        </w:tblPrEx>
        <w:trPr>
          <w:trHeight w:val="330" w:hRule="atLeast"/>
        </w:trPr>
        <w:tc>
          <w:tcPr>
            <w:tcW w:type="dxa" w:w="4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b w:val="0"/>
                <w:bCs w:val="0"/>
                <w:shd w:val="nil" w:color="auto" w:fill="auto"/>
                <w:rtl w:val="0"/>
                <w:lang w:val="en-US"/>
              </w:rPr>
              <w:t>✓</w:t>
            </w:r>
          </w:p>
        </w:tc>
        <w:tc>
          <w:tcPr>
            <w:tcW w:type="dxa" w:w="3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b w:val="0"/>
                <w:bCs w:val="0"/>
                <w:shd w:val="nil" w:color="auto" w:fill="auto"/>
                <w:rtl w:val="0"/>
                <w:lang w:val="en-US"/>
              </w:rPr>
              <w:t>✓</w:t>
            </w:r>
          </w:p>
        </w:tc>
      </w:tr>
      <w:tr>
        <w:tblPrEx>
          <w:shd w:val="clear" w:color="auto" w:fill="ced7e7"/>
        </w:tblPrEx>
        <w:trPr>
          <w:trHeight w:val="442" w:hRule="atLeast"/>
        </w:trPr>
        <w:tc>
          <w:tcPr>
            <w:tcW w:type="dxa" w:w="4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shd w:val="nil" w:color="auto" w:fill="auto"/>
                <w:rtl w:val="0"/>
                <w:lang w:val="en-US"/>
              </w:rPr>
              <w:t>Major: SUST 410-Pre Capstone Advanced Seminar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shd w:val="nil" w:color="auto" w:fill="auto"/>
                <w:rtl w:val="0"/>
                <w:lang w:val="en-US"/>
              </w:rPr>
              <w:t>Major: SUST 420-Final Capstone Course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Elective (or) 2nd  major (or) minor(s) course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 Elective (or) 2nd  major (or) minor(s) course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 Elective (or) 2nd  major (or) minor(s) course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 Elective (or) 2nd  major (or) minor(s) course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 Elective (or) 2nd  major (or) minor(s) course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 Elective (or) 2nd  major (or) minor(s) course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b w:val="1"/>
          <w:bCs w:val="1"/>
          <w:sz w:val="2"/>
          <w:szCs w:val="2"/>
        </w:rPr>
      </w:pPr>
    </w:p>
    <w:p>
      <w:pPr>
        <w:pStyle w:val="Body"/>
        <w:rPr>
          <w:b w:val="1"/>
          <w:bCs w:val="1"/>
        </w:rPr>
      </w:pPr>
    </w:p>
    <w:p>
      <w:pPr>
        <w:pStyle w:val="Body"/>
      </w:pPr>
      <w:r>
        <w:rPr>
          <w:b w:val="1"/>
          <w:bCs w:val="1"/>
          <w:rtl w:val="0"/>
          <w:lang w:val="en-US"/>
        </w:rPr>
        <w:t xml:space="preserve">Total Credits Required: </w:t>
      </w:r>
      <w:r>
        <w:rPr>
          <w:rtl w:val="0"/>
          <w:lang w:val="en-US"/>
        </w:rPr>
        <w:t>128 credits</w:t>
        <w:tab/>
        <w:tab/>
      </w:r>
      <w:r>
        <w:rPr>
          <w:b w:val="1"/>
          <w:bCs w:val="1"/>
          <w:rtl w:val="0"/>
        </w:rPr>
        <w:t>GPA:</w:t>
      </w:r>
      <w:r>
        <w:rPr>
          <w:rtl w:val="0"/>
        </w:rPr>
        <w:t xml:space="preserve"> 2.0</w:t>
      </w:r>
    </w:p>
    <w:p>
      <w:pPr>
        <w:pStyle w:val="Body"/>
        <w:rPr>
          <w:sz w:val="20"/>
          <w:szCs w:val="20"/>
        </w:rPr>
      </w:pPr>
    </w:p>
    <w:p>
      <w:pPr>
        <w:pStyle w:val="Body"/>
        <w:rPr>
          <w:sz w:val="20"/>
          <w:szCs w:val="20"/>
        </w:rPr>
      </w:pPr>
      <w:r>
        <w:rPr>
          <w:sz w:val="20"/>
          <w:szCs w:val="20"/>
          <w:rtl w:val="0"/>
          <w:lang w:val="en-US"/>
        </w:rPr>
        <w:t xml:space="preserve">WI: Writing Intensive courses needed prior to graduation </w:t>
      </w:r>
    </w:p>
    <w:p>
      <w:pPr>
        <w:pStyle w:val="Body"/>
        <w:rPr>
          <w:sz w:val="20"/>
          <w:szCs w:val="20"/>
        </w:rPr>
      </w:pPr>
    </w:p>
    <w:p>
      <w:pPr>
        <w:pStyle w:val="Body"/>
      </w:pPr>
      <w:r>
        <w:rPr>
          <w:sz w:val="20"/>
          <w:szCs w:val="20"/>
          <w:rtl w:val="0"/>
          <w:lang w:val="en-US"/>
        </w:rPr>
        <w:t>Note: Only two GenEd courses can double count in the School Core and major.</w:t>
      </w:r>
    </w:p>
    <w:sectPr>
      <w:headerReference w:type="default" r:id="rId5"/>
      <w:footerReference w:type="default" r:id="rId6"/>
      <w:pgSz w:w="12240" w:h="15840" w:orient="portrait"/>
      <w:pgMar w:top="360" w:right="864" w:bottom="864" w:left="864"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