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drawing xmlns:a="http://schemas.openxmlformats.org/drawingml/2006/main">
          <wp:anchor distT="0" distB="0" distL="0" distR="0" simplePos="0" relativeHeight="251659264" behindDoc="0" locked="0" layoutInCell="1" allowOverlap="1">
            <wp:simplePos x="0" y="0"/>
            <wp:positionH relativeFrom="column">
              <wp:posOffset>6</wp:posOffset>
            </wp:positionH>
            <wp:positionV relativeFrom="line">
              <wp:posOffset>0</wp:posOffset>
            </wp:positionV>
            <wp:extent cx="1543050" cy="55245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543050" cy="552450"/>
                    </a:xfrm>
                    <a:prstGeom prst="rect">
                      <a:avLst/>
                    </a:prstGeom>
                    <a:ln w="12700" cap="flat">
                      <a:noFill/>
                      <a:miter lim="400000"/>
                    </a:ln>
                    <a:effectLst/>
                  </pic:spPr>
                </pic:pic>
              </a:graphicData>
            </a:graphic>
          </wp:anchor>
        </w:drawing>
      </w:r>
    </w:p>
    <w:tbl>
      <w:tblPr>
        <w:tblW w:w="107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64"/>
        <w:gridCol w:w="5364"/>
      </w:tblGrid>
      <w:tr>
        <w:tblPrEx>
          <w:shd w:val="clear" w:color="auto" w:fill="ced7e7"/>
        </w:tblPrEx>
        <w:trPr>
          <w:trHeight w:val="309" w:hRule="atLeast"/>
        </w:trPr>
        <w:tc>
          <w:tcPr>
            <w:tcW w:type="dxa" w:w="5364"/>
            <w:tcBorders>
              <w:top w:val="nil"/>
              <w:left w:val="nil"/>
              <w:bottom w:val="nil"/>
              <w:right w:val="nil"/>
            </w:tcBorders>
            <w:shd w:val="clear" w:color="auto" w:fill="auto"/>
            <w:tcMar>
              <w:top w:type="dxa" w:w="80"/>
              <w:left w:type="dxa" w:w="80"/>
              <w:bottom w:type="dxa" w:w="80"/>
              <w:right w:type="dxa" w:w="80"/>
            </w:tcMar>
            <w:vAlign w:val="top"/>
          </w:tcPr>
          <w:p/>
        </w:tc>
        <w:tc>
          <w:tcPr>
            <w:tcW w:type="dxa" w:w="5364"/>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z w:val="26"/>
                <w:szCs w:val="26"/>
                <w:shd w:val="nil" w:color="auto" w:fill="auto"/>
                <w:rtl w:val="0"/>
                <w:lang w:val="en-US"/>
              </w:rPr>
              <w:t>School of Social Science and Human Services</w:t>
            </w:r>
          </w:p>
        </w:tc>
      </w:tr>
    </w:tbl>
    <w:p>
      <w:pPr>
        <w:pStyle w:val="Body"/>
        <w:widowControl w:val="0"/>
      </w:pPr>
    </w:p>
    <w:p>
      <w:pPr>
        <w:pStyle w:val="Body"/>
        <w:rPr>
          <w:sz w:val="2"/>
          <w:szCs w:val="2"/>
        </w:rPr>
      </w:pPr>
      <w:r>
        <w:rPr>
          <w:b w:val="1"/>
          <w:bCs w:val="1"/>
          <w:sz w:val="28"/>
          <w:szCs w:val="28"/>
        </w:rPr>
        <w:br w:type="textWrapping"/>
      </w:r>
    </w:p>
    <w:p>
      <w:pPr>
        <w:pStyle w:val="Body"/>
        <w:rPr>
          <w:sz w:val="28"/>
          <w:szCs w:val="28"/>
        </w:rPr>
      </w:pPr>
      <w:r>
        <w:rPr>
          <w:b w:val="1"/>
          <w:bCs w:val="1"/>
          <w:sz w:val="28"/>
          <w:szCs w:val="28"/>
          <w:rtl w:val="0"/>
          <w:lang w:val="en-US"/>
        </w:rPr>
        <w:t>Law and Society</w:t>
      </w:r>
    </w:p>
    <w:p>
      <w:pPr>
        <w:pStyle w:val="Body"/>
        <w:rPr>
          <w:sz w:val="4"/>
          <w:szCs w:val="4"/>
        </w:rPr>
      </w:pPr>
      <w:r>
        <w:rPr>
          <w:rtl w:val="0"/>
          <w:lang w:val="en-US"/>
        </w:rPr>
        <w:t>Recommended Four-Year Plan (Fall 2023)</w:t>
      </w:r>
      <w:r>
        <w:br w:type="textWrapping"/>
      </w:r>
    </w:p>
    <w:p>
      <w:pPr>
        <w:pStyle w:val="Body"/>
        <w:rPr>
          <w:sz w:val="20"/>
          <w:szCs w:val="20"/>
        </w:rPr>
      </w:pPr>
      <w:r>
        <w:rPr>
          <w:sz w:val="20"/>
          <w:szCs w:val="20"/>
          <w:rtl w:val="0"/>
          <w:lang w:val="en-US"/>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pPr>
        <w:pStyle w:val="Body"/>
        <w:rPr>
          <w:sz w:val="20"/>
          <w:szCs w:val="20"/>
        </w:rPr>
      </w:pPr>
    </w:p>
    <w:p>
      <w:pPr>
        <w:pStyle w:val="Body"/>
        <w:rPr>
          <w:sz w:val="18"/>
          <w:szCs w:val="18"/>
        </w:rPr>
      </w:pPr>
      <w:r>
        <w:rPr>
          <w:sz w:val="20"/>
          <w:szCs w:val="20"/>
          <w:rtl w:val="0"/>
          <w:lang w:val="en-US"/>
        </w:rPr>
        <w:t>NOTE: This recommended Four-Year Plan is applicable to students admitted into the major during the 2023-2024 academic year.</w:t>
      </w:r>
    </w:p>
    <w:p>
      <w:pPr>
        <w:pStyle w:val="Body"/>
        <w:rPr>
          <w:sz w:val="8"/>
          <w:szCs w:val="8"/>
        </w:rPr>
      </w:pPr>
    </w:p>
    <w:tbl>
      <w:tblPr>
        <w:tblW w:w="108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15"/>
        <w:gridCol w:w="704"/>
        <w:gridCol w:w="520"/>
        <w:gridCol w:w="3906"/>
        <w:gridCol w:w="913"/>
        <w:gridCol w:w="520"/>
      </w:tblGrid>
      <w:tr>
        <w:tblPrEx>
          <w:shd w:val="clear" w:color="auto" w:fill="ced7e7"/>
        </w:tblPrEx>
        <w:trPr>
          <w:trHeight w:val="318" w:hRule="atLeast"/>
        </w:trPr>
        <w:tc>
          <w:tcPr>
            <w:tcW w:type="dxa" w:w="1087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First Year</w:t>
            </w:r>
          </w:p>
        </w:tc>
      </w:tr>
      <w:tr>
        <w:tblPrEx>
          <w:shd w:val="clear" w:color="auto" w:fill="ced7e7"/>
        </w:tblPrEx>
        <w:trPr>
          <w:trHeight w:val="330" w:hRule="atLeast"/>
        </w:trPr>
        <w:tc>
          <w:tcPr>
            <w:tcW w:type="dxa" w:w="4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662" w:hRule="atLeast"/>
        </w:trPr>
        <w:tc>
          <w:tcPr>
            <w:tcW w:type="dxa" w:w="4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First Year Seminar (FYS)</w:t>
            </w:r>
          </w:p>
        </w:tc>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Historical Perspectives/ Major: LAWS 233 American Legal History (Recommended)*</w:t>
            </w:r>
          </w:p>
        </w:tc>
        <w:tc>
          <w:tcPr>
            <w:tcW w:type="dxa" w:w="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2" w:hRule="atLeast"/>
        </w:trPr>
        <w:tc>
          <w:tcPr>
            <w:tcW w:type="dxa" w:w="4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LAWS 131-Law and Society</w:t>
            </w:r>
          </w:p>
        </w:tc>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Systems, Sustainability &amp; Society/ Major:  LAWS 251 Law, Power, and Inequality (Recommended)* WI</w:t>
            </w:r>
          </w:p>
        </w:tc>
        <w:tc>
          <w:tcPr>
            <w:tcW w:type="dxa" w:w="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CRWT 102-Critical Reading &amp; Writing II</w:t>
            </w:r>
          </w:p>
        </w:tc>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Quantitative Reasoning</w:t>
            </w:r>
          </w:p>
        </w:tc>
        <w:tc>
          <w:tcPr>
            <w:tcW w:type="dxa" w:w="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Gen Ed: Social Science Inquiry </w:t>
            </w:r>
            <w:r>
              <w:rPr>
                <w:sz w:val="20"/>
                <w:szCs w:val="20"/>
                <w:shd w:val="nil" w:color="auto" w:fill="auto"/>
              </w:rPr>
            </w:r>
          </w:p>
        </w:tc>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Scientific Reasoning</w:t>
            </w:r>
          </w:p>
        </w:tc>
        <w:tc>
          <w:tcPr>
            <w:tcW w:type="dxa" w:w="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0" w:hRule="atLeast"/>
        </w:trPr>
        <w:tc>
          <w:tcPr>
            <w:tcW w:type="dxa" w:w="4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Career Pathways: PATH SS1 </w:t>
            </w:r>
            <w:r>
              <w:rPr>
                <w:sz w:val="20"/>
                <w:szCs w:val="20"/>
                <w:shd w:val="nil" w:color="auto" w:fill="auto"/>
                <w:rtl w:val="0"/>
                <w:lang w:val="en-US"/>
              </w:rPr>
              <w:t xml:space="preserve">– </w:t>
            </w:r>
            <w:r>
              <w:rPr>
                <w:sz w:val="20"/>
                <w:szCs w:val="20"/>
                <w:shd w:val="nil" w:color="auto" w:fill="auto"/>
                <w:rtl w:val="0"/>
                <w:lang w:val="en-US"/>
              </w:rPr>
              <w:t>Career Pathways Module 1</w:t>
            </w:r>
          </w:p>
        </w:tc>
        <w:tc>
          <w:tcPr>
            <w:tcW w:type="dxa" w:w="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 xml:space="preserve">Degree </w:t>
            </w:r>
            <w:r>
              <w:rPr>
                <w:shd w:val="nil" w:color="auto" w:fill="auto"/>
                <w:lang w:val="en-US"/>
              </w:rPr>
              <w:br w:type="textWrapping"/>
            </w:r>
            <w:r>
              <w:rPr>
                <w:shd w:val="nil" w:color="auto" w:fill="auto"/>
                <w:rtl w:val="0"/>
                <w:lang w:val="en-US"/>
              </w:rPr>
              <w:t xml:space="preserve">Rqmt. </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sz w:val="8"/>
          <w:szCs w:val="8"/>
        </w:rPr>
      </w:pPr>
    </w:p>
    <w:p>
      <w:pPr>
        <w:pStyle w:val="Body"/>
        <w:rPr>
          <w:sz w:val="2"/>
          <w:szCs w:val="2"/>
        </w:rPr>
      </w:pPr>
    </w:p>
    <w:tbl>
      <w:tblPr>
        <w:tblW w:w="108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045"/>
        <w:gridCol w:w="974"/>
        <w:gridCol w:w="520"/>
        <w:gridCol w:w="3906"/>
        <w:gridCol w:w="913"/>
        <w:gridCol w:w="520"/>
      </w:tblGrid>
      <w:tr>
        <w:tblPrEx>
          <w:shd w:val="clear" w:color="auto" w:fill="ced7e7"/>
        </w:tblPrEx>
        <w:trPr>
          <w:trHeight w:val="318" w:hRule="atLeast"/>
        </w:trPr>
        <w:tc>
          <w:tcPr>
            <w:tcW w:type="dxa" w:w="1087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Second Year</w:t>
            </w:r>
          </w:p>
        </w:tc>
      </w:tr>
      <w:tr>
        <w:tblPrEx>
          <w:shd w:val="clear" w:color="auto" w:fill="ced7e7"/>
        </w:tblPrEx>
        <w:trPr>
          <w:trHeight w:val="330" w:hRule="atLeast"/>
        </w:trPr>
        <w:tc>
          <w:tcPr>
            <w:tcW w:type="dxa" w:w="4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9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442" w:hRule="atLeast"/>
        </w:trPr>
        <w:tc>
          <w:tcPr>
            <w:tcW w:type="dxa" w:w="4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Gen Ed: Studies in Arts &amp; Humanities</w:t>
            </w:r>
          </w:p>
        </w:tc>
        <w:tc>
          <w:tcPr>
            <w:tcW w:type="dxa" w:w="9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 xml:space="preserve">Gen Ed: Culture and Creativity (outside SSHS) </w:t>
            </w:r>
          </w:p>
        </w:tc>
        <w:tc>
          <w:tcPr>
            <w:tcW w:type="dxa" w:w="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62" w:hRule="atLeast"/>
        </w:trPr>
        <w:tc>
          <w:tcPr>
            <w:tcW w:type="dxa" w:w="4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Gen Ed: Global Awareness/ Major: LAWS 201-Global Legal Order (Recommended)*</w:t>
            </w:r>
          </w:p>
        </w:tc>
        <w:tc>
          <w:tcPr>
            <w:tcW w:type="dxa" w:w="9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School Core: SOSC 235-History of Social Thought</w:t>
            </w:r>
            <w:r>
              <w:rPr>
                <w:sz w:val="20"/>
                <w:szCs w:val="20"/>
                <w:shd w:val="nil" w:color="auto" w:fill="auto"/>
              </w:rPr>
            </w:r>
          </w:p>
        </w:tc>
        <w:tc>
          <w:tcPr>
            <w:tcW w:type="dxa" w:w="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42" w:hRule="atLeast"/>
        </w:trPr>
        <w:tc>
          <w:tcPr>
            <w:tcW w:type="dxa" w:w="4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Gen Ed: Values and Ethics/ Major: LAWS 210 Law, Justice, and Morality (Recommended)*</w:t>
            </w:r>
          </w:p>
        </w:tc>
        <w:tc>
          <w:tcPr>
            <w:tcW w:type="dxa" w:w="9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 xml:space="preserve"> Elective/Minor</w:t>
            </w:r>
          </w:p>
        </w:tc>
        <w:tc>
          <w:tcPr>
            <w:tcW w:type="dxa" w:w="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4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Elective/Minor</w:t>
            </w:r>
          </w:p>
        </w:tc>
        <w:tc>
          <w:tcPr>
            <w:tcW w:type="dxa" w:w="9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 xml:space="preserve"> Elective/Minor</w:t>
            </w:r>
          </w:p>
        </w:tc>
        <w:tc>
          <w:tcPr>
            <w:tcW w:type="dxa" w:w="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00" w:hRule="atLeast"/>
        </w:trPr>
        <w:tc>
          <w:tcPr>
            <w:tcW w:type="dxa" w:w="4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 xml:space="preserve">Career Pathways: PATH SS2 </w:t>
            </w:r>
            <w:r>
              <w:rPr>
                <w:sz w:val="20"/>
                <w:szCs w:val="20"/>
                <w:shd w:val="nil" w:color="auto" w:fill="auto"/>
                <w:rtl w:val="0"/>
                <w:lang w:val="en-US"/>
              </w:rPr>
              <w:t xml:space="preserve">– </w:t>
            </w:r>
            <w:r>
              <w:rPr>
                <w:sz w:val="20"/>
                <w:szCs w:val="20"/>
                <w:shd w:val="nil" w:color="auto" w:fill="auto"/>
                <w:rtl w:val="0"/>
                <w:lang w:val="en-US"/>
              </w:rPr>
              <w:t>Career Pathways Module 2</w:t>
            </w:r>
          </w:p>
        </w:tc>
        <w:tc>
          <w:tcPr>
            <w:tcW w:type="dxa" w:w="9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 xml:space="preserve">Degree </w:t>
            </w:r>
            <w:r>
              <w:rPr>
                <w:shd w:val="nil" w:color="auto" w:fill="auto"/>
                <w:lang w:val="en-US"/>
              </w:rPr>
              <w:br w:type="textWrapping"/>
            </w:r>
            <w:r>
              <w:rPr>
                <w:shd w:val="nil" w:color="auto" w:fill="auto"/>
                <w:rtl w:val="0"/>
                <w:lang w:val="en-US"/>
              </w:rPr>
              <w:t>Rqmt.</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 xml:space="preserve">Career Pathways: PATH SS3 </w:t>
            </w:r>
            <w:r>
              <w:rPr>
                <w:sz w:val="20"/>
                <w:szCs w:val="20"/>
                <w:shd w:val="nil" w:color="auto" w:fill="auto"/>
                <w:rtl w:val="0"/>
                <w:lang w:val="en-US"/>
              </w:rPr>
              <w:t xml:space="preserve">– </w:t>
            </w:r>
            <w:r>
              <w:rPr>
                <w:sz w:val="20"/>
                <w:szCs w:val="20"/>
                <w:shd w:val="nil" w:color="auto" w:fill="auto"/>
                <w:rtl w:val="0"/>
                <w:lang w:val="en-US"/>
              </w:rPr>
              <w:t>Career Pathways Module 3</w:t>
            </w:r>
          </w:p>
        </w:tc>
        <w:tc>
          <w:tcPr>
            <w:tcW w:type="dxa" w:w="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 xml:space="preserve">Degree </w:t>
            </w:r>
            <w:r>
              <w:rPr>
                <w:shd w:val="nil" w:color="auto" w:fill="auto"/>
                <w:lang w:val="en-US"/>
              </w:rPr>
              <w:br w:type="textWrapping"/>
            </w:r>
            <w:r>
              <w:rPr>
                <w:shd w:val="nil" w:color="auto" w:fill="auto"/>
                <w:rtl w:val="0"/>
                <w:lang w:val="en-US"/>
              </w:rPr>
              <w:t>Rqmt.</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4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9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Body"/>
        <w:widowControl w:val="0"/>
        <w:jc w:val="center"/>
        <w:rPr>
          <w:sz w:val="2"/>
          <w:szCs w:val="2"/>
        </w:rPr>
      </w:pPr>
    </w:p>
    <w:p>
      <w:pPr>
        <w:pStyle w:val="Body"/>
        <w:rPr>
          <w:sz w:val="2"/>
          <w:szCs w:val="2"/>
        </w:rPr>
      </w:pPr>
    </w:p>
    <w:tbl>
      <w:tblPr>
        <w:tblW w:w="1088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90"/>
        <w:gridCol w:w="830"/>
        <w:gridCol w:w="520"/>
        <w:gridCol w:w="3990"/>
        <w:gridCol w:w="830"/>
        <w:gridCol w:w="520"/>
      </w:tblGrid>
      <w:tr>
        <w:tblPrEx>
          <w:shd w:val="clear" w:color="auto" w:fill="ced7e7"/>
        </w:tblPrEx>
        <w:trPr>
          <w:trHeight w:val="318" w:hRule="atLeast"/>
        </w:trPr>
        <w:tc>
          <w:tcPr>
            <w:tcW w:type="dxa" w:w="1088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Third Year</w:t>
            </w:r>
          </w:p>
        </w:tc>
      </w:tr>
      <w:tr>
        <w:tblPrEx>
          <w:shd w:val="clear" w:color="auto" w:fill="ced7e7"/>
        </w:tblPrEx>
        <w:trPr>
          <w:trHeight w:val="330" w:hRule="atLeast"/>
        </w:trPr>
        <w:tc>
          <w:tcPr>
            <w:tcW w:type="dxa" w:w="4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300" w:hRule="atLeast"/>
        </w:trPr>
        <w:tc>
          <w:tcPr>
            <w:tcW w:type="dxa" w:w="4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LAWS 353- Sociolegal Research and Writing WI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LAWS 321-Field Studies: Law &amp; Society</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82" w:hRule="atLeast"/>
        </w:trPr>
        <w:tc>
          <w:tcPr>
            <w:tcW w:type="dxa" w:w="4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LAWS 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School Core: Sustainability, Society &amp; Civic Mindedness (outside of LAWS) - SOCI 101 or PSYC 101 or EDUC 221 or ENST 209</w:t>
            </w:r>
            <w:r>
              <w:rPr>
                <w:sz w:val="20"/>
                <w:szCs w:val="20"/>
                <w:shd w:val="nil" w:color="auto" w:fill="auto"/>
              </w:rPr>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LAWS 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LAWS 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Elective/Minor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Elective/Minor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sz w:val="2"/>
          <w:szCs w:val="2"/>
        </w:rPr>
      </w:pPr>
    </w:p>
    <w:p>
      <w:pPr>
        <w:pStyle w:val="Body"/>
        <w:rPr>
          <w:sz w:val="2"/>
          <w:szCs w:val="2"/>
        </w:rPr>
      </w:pPr>
    </w:p>
    <w:p>
      <w:pPr>
        <w:pStyle w:val="Body"/>
        <w:rPr>
          <w:sz w:val="2"/>
          <w:szCs w:val="2"/>
        </w:rPr>
      </w:pPr>
    </w:p>
    <w:p>
      <w:pPr>
        <w:pStyle w:val="Body"/>
        <w:rPr>
          <w:sz w:val="2"/>
          <w:szCs w:val="2"/>
        </w:rPr>
      </w:pPr>
    </w:p>
    <w:p>
      <w:pPr>
        <w:pStyle w:val="Body"/>
        <w:rPr>
          <w:sz w:val="2"/>
          <w:szCs w:val="2"/>
        </w:rPr>
      </w:pPr>
    </w:p>
    <w:p>
      <w:pPr>
        <w:pStyle w:val="Body"/>
        <w:rPr>
          <w:sz w:val="2"/>
          <w:szCs w:val="2"/>
        </w:rPr>
      </w:pPr>
    </w:p>
    <w:p>
      <w:pPr>
        <w:pStyle w:val="Body"/>
        <w:rPr>
          <w:sz w:val="2"/>
          <w:szCs w:val="2"/>
        </w:rPr>
      </w:pPr>
    </w:p>
    <w:p>
      <w:pPr>
        <w:pStyle w:val="Body"/>
        <w:rPr>
          <w:sz w:val="2"/>
          <w:szCs w:val="2"/>
        </w:rPr>
      </w:pPr>
    </w:p>
    <w:p>
      <w:pPr>
        <w:pStyle w:val="Body"/>
        <w:rPr>
          <w:sz w:val="2"/>
          <w:szCs w:val="2"/>
        </w:rPr>
      </w:pPr>
    </w:p>
    <w:p>
      <w:pPr>
        <w:pStyle w:val="Body"/>
        <w:rPr>
          <w:sz w:val="2"/>
          <w:szCs w:val="2"/>
        </w:rPr>
      </w:pPr>
    </w:p>
    <w:p>
      <w:pPr>
        <w:pStyle w:val="Body"/>
        <w:rPr>
          <w:sz w:val="2"/>
          <w:szCs w:val="2"/>
        </w:rPr>
      </w:pPr>
    </w:p>
    <w:p>
      <w:pPr>
        <w:pStyle w:val="Body"/>
        <w:rPr>
          <w:sz w:val="2"/>
          <w:szCs w:val="2"/>
        </w:rPr>
      </w:pPr>
    </w:p>
    <w:p>
      <w:pPr>
        <w:pStyle w:val="Body"/>
        <w:rPr>
          <w:sz w:val="2"/>
          <w:szCs w:val="2"/>
        </w:rPr>
      </w:pPr>
    </w:p>
    <w:p>
      <w:pPr>
        <w:pStyle w:val="Body"/>
        <w:rPr>
          <w:sz w:val="2"/>
          <w:szCs w:val="2"/>
        </w:rPr>
      </w:pPr>
    </w:p>
    <w:p>
      <w:pPr>
        <w:pStyle w:val="Body"/>
        <w:rPr>
          <w:sz w:val="2"/>
          <w:szCs w:val="2"/>
        </w:rPr>
      </w:pPr>
    </w:p>
    <w:p>
      <w:pPr>
        <w:pStyle w:val="Body"/>
        <w:rPr>
          <w:sz w:val="2"/>
          <w:szCs w:val="2"/>
        </w:rPr>
      </w:pPr>
    </w:p>
    <w:p>
      <w:pPr>
        <w:pStyle w:val="Body"/>
        <w:rPr>
          <w:sz w:val="2"/>
          <w:szCs w:val="2"/>
        </w:rPr>
      </w:pPr>
    </w:p>
    <w:p>
      <w:pPr>
        <w:pStyle w:val="Body"/>
        <w:rPr>
          <w:sz w:val="2"/>
          <w:szCs w:val="2"/>
        </w:rPr>
      </w:pPr>
    </w:p>
    <w:p>
      <w:pPr>
        <w:pStyle w:val="Body"/>
        <w:rPr>
          <w:sz w:val="2"/>
          <w:szCs w:val="2"/>
        </w:rPr>
      </w:pPr>
    </w:p>
    <w:p>
      <w:pPr>
        <w:pStyle w:val="Body"/>
        <w:rPr>
          <w:sz w:val="2"/>
          <w:szCs w:val="2"/>
        </w:rPr>
      </w:pPr>
    </w:p>
    <w:p>
      <w:pPr>
        <w:pStyle w:val="Body"/>
        <w:rPr>
          <w:sz w:val="2"/>
          <w:szCs w:val="2"/>
        </w:rPr>
      </w:pPr>
    </w:p>
    <w:p>
      <w:pPr>
        <w:pStyle w:val="Body"/>
        <w:rPr>
          <w:sz w:val="2"/>
          <w:szCs w:val="2"/>
        </w:rPr>
      </w:pPr>
    </w:p>
    <w:p>
      <w:pPr>
        <w:pStyle w:val="Body"/>
        <w:rPr>
          <w:sz w:val="2"/>
          <w:szCs w:val="2"/>
        </w:rPr>
      </w:pPr>
    </w:p>
    <w:p>
      <w:pPr>
        <w:pStyle w:val="Body"/>
        <w:rPr>
          <w:sz w:val="2"/>
          <w:szCs w:val="2"/>
        </w:rPr>
      </w:pPr>
    </w:p>
    <w:p>
      <w:pPr>
        <w:pStyle w:val="Body"/>
        <w:rPr>
          <w:sz w:val="2"/>
          <w:szCs w:val="2"/>
        </w:rPr>
      </w:pPr>
    </w:p>
    <w:tbl>
      <w:tblPr>
        <w:tblW w:w="1087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89"/>
        <w:gridCol w:w="830"/>
        <w:gridCol w:w="520"/>
        <w:gridCol w:w="3989"/>
        <w:gridCol w:w="830"/>
        <w:gridCol w:w="520"/>
      </w:tblGrid>
      <w:tr>
        <w:tblPrEx>
          <w:shd w:val="clear" w:color="auto" w:fill="ced7e7"/>
        </w:tblPrEx>
        <w:trPr>
          <w:trHeight w:val="318" w:hRule="atLeast"/>
        </w:trPr>
        <w:tc>
          <w:tcPr>
            <w:tcW w:type="dxa" w:w="1087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Fourth Year</w:t>
            </w:r>
          </w:p>
        </w:tc>
      </w:tr>
      <w:tr>
        <w:tblPrEx>
          <w:shd w:val="clear" w:color="auto" w:fill="ced7e7"/>
        </w:tblPrEx>
        <w:trPr>
          <w:trHeight w:val="330" w:hRule="atLeast"/>
        </w:trPr>
        <w:tc>
          <w:tcPr>
            <w:tcW w:type="dxa" w:w="4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300" w:hRule="atLeast"/>
        </w:trPr>
        <w:tc>
          <w:tcPr>
            <w:tcW w:type="dxa" w:w="4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LAWS 421-Senior Seminar WI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LAWS 431-Senior Thesis WI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LAWS 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Elective/Minor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Elective/Minor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Elective/Minor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Elective/Minor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Elective/Minor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sz w:val="2"/>
          <w:szCs w:val="2"/>
        </w:rPr>
      </w:pPr>
    </w:p>
    <w:p>
      <w:pPr>
        <w:pStyle w:val="Body"/>
        <w:rPr>
          <w:b w:val="1"/>
          <w:bCs w:val="1"/>
        </w:rPr>
      </w:pPr>
    </w:p>
    <w:p>
      <w:pPr>
        <w:pStyle w:val="Body"/>
      </w:pPr>
      <w:r>
        <w:rPr>
          <w:b w:val="1"/>
          <w:bCs w:val="1"/>
          <w:rtl w:val="0"/>
          <w:lang w:val="en-US"/>
        </w:rPr>
        <w:t xml:space="preserve">Total Credits Required: </w:t>
      </w:r>
      <w:r>
        <w:rPr>
          <w:rtl w:val="0"/>
          <w:lang w:val="en-US"/>
        </w:rPr>
        <w:t>128 credits</w:t>
        <w:tab/>
        <w:tab/>
      </w:r>
      <w:r>
        <w:rPr>
          <w:b w:val="1"/>
          <w:bCs w:val="1"/>
          <w:rtl w:val="0"/>
        </w:rPr>
        <w:t>GPA:</w:t>
      </w:r>
      <w:r>
        <w:rPr>
          <w:rtl w:val="0"/>
        </w:rPr>
        <w:t xml:space="preserve"> 2.0</w:t>
      </w:r>
    </w:p>
    <w:p>
      <w:pPr>
        <w:pStyle w:val="Body"/>
      </w:pPr>
    </w:p>
    <w:p>
      <w:pPr>
        <w:pStyle w:val="Body"/>
        <w:rPr>
          <w:sz w:val="20"/>
          <w:szCs w:val="20"/>
        </w:rPr>
      </w:pPr>
      <w:r>
        <w:rPr>
          <w:sz w:val="20"/>
          <w:szCs w:val="20"/>
          <w:rtl w:val="0"/>
          <w:lang w:val="en-US"/>
        </w:rPr>
        <w:t>NOTE: All LAWS Electives will be chosen from categorized list</w:t>
      </w:r>
    </w:p>
    <w:p>
      <w:pPr>
        <w:pStyle w:val="Body"/>
        <w:rPr>
          <w:sz w:val="20"/>
          <w:szCs w:val="20"/>
        </w:rPr>
      </w:pPr>
    </w:p>
    <w:p>
      <w:pPr>
        <w:pStyle w:val="Body"/>
        <w:rPr>
          <w:sz w:val="20"/>
          <w:szCs w:val="20"/>
        </w:rPr>
      </w:pPr>
      <w:r>
        <w:rPr>
          <w:sz w:val="20"/>
          <w:szCs w:val="20"/>
          <w:rtl w:val="0"/>
          <w:lang w:val="en-US"/>
        </w:rPr>
        <w:t xml:space="preserve">WI: Writing Intensive courses needed prior to graduation </w:t>
      </w:r>
    </w:p>
    <w:p>
      <w:pPr>
        <w:pStyle w:val="Body"/>
        <w:rPr>
          <w:sz w:val="20"/>
          <w:szCs w:val="20"/>
        </w:rPr>
      </w:pPr>
    </w:p>
    <w:p>
      <w:pPr>
        <w:pStyle w:val="Body"/>
      </w:pPr>
      <w:r>
        <w:rPr>
          <w:sz w:val="20"/>
          <w:szCs w:val="20"/>
          <w:rtl w:val="0"/>
          <w:lang w:val="en-US"/>
        </w:rPr>
        <w:t xml:space="preserve">*These courses are major requirements that will double count for the GenEd, BUT only two courses in the major are allowed to double count. If you have already double counted two courses in the major for the GenEd category, you will NEED to select another course for the GenEd. </w:t>
      </w:r>
    </w:p>
    <w:sectPr>
      <w:headerReference w:type="default" r:id="rId5"/>
      <w:footerReference w:type="default" r:id="rId6"/>
      <w:pgSz w:w="12240" w:h="15840" w:orient="portrait"/>
      <w:pgMar w:top="360" w:right="864" w:bottom="864" w:left="864"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