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bookmarkStart w:name="_gjdgxs" w:id="0"/>
      <w:bookmarkEnd w:id="0"/>
      <w:r>
        <w:drawing xmlns:a="http://schemas.openxmlformats.org/drawingml/2006/main">
          <wp:anchor distT="0" distB="0" distL="0" distR="0" simplePos="0" relativeHeight="251659264" behindDoc="0" locked="0" layoutInCell="1" allowOverlap="1">
            <wp:simplePos x="0" y="0"/>
            <wp:positionH relativeFrom="column">
              <wp:posOffset>0</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09" w:hRule="atLeast"/>
        </w:trPr>
        <w:tc>
          <w:tcPr>
            <w:tcW w:type="dxa" w:w="5364"/>
            <w:tcBorders>
              <w:top w:val="nil"/>
              <w:left w:val="nil"/>
              <w:bottom w:val="nil"/>
              <w:right w:val="nil"/>
            </w:tcBorders>
            <w:shd w:val="clear" w:color="auto" w:fill="auto"/>
            <w:tcMar>
              <w:top w:type="dxa" w:w="80"/>
              <w:left w:type="dxa" w:w="80"/>
              <w:bottom w:type="dxa" w:w="80"/>
              <w:right w:type="dxa" w:w="80"/>
            </w:tcMar>
            <w:vAlign w:val="top"/>
          </w:tcPr>
          <w:p/>
        </w:tc>
        <w:tc>
          <w:tcPr>
            <w:tcW w:type="dxa" w:w="536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Theoretical and Applied Science</w:t>
            </w:r>
          </w:p>
        </w:tc>
      </w:tr>
    </w:tbl>
    <w:p>
      <w:pPr>
        <w:pStyle w:val="Body"/>
        <w:widowControl w:val="0"/>
      </w:pPr>
    </w:p>
    <w:p>
      <w:pPr>
        <w:pStyle w:val="Body"/>
        <w:rPr>
          <w:sz w:val="28"/>
          <w:szCs w:val="28"/>
        </w:rPr>
      </w:pPr>
    </w:p>
    <w:p>
      <w:pPr>
        <w:pStyle w:val="Body"/>
        <w:rPr>
          <w:sz w:val="28"/>
          <w:szCs w:val="28"/>
        </w:rPr>
      </w:pPr>
      <w:r>
        <w:rPr>
          <w:b w:val="1"/>
          <w:bCs w:val="1"/>
          <w:sz w:val="28"/>
          <w:szCs w:val="28"/>
        </w:rPr>
        <w:br w:type="textWrapping"/>
      </w:r>
      <w:r>
        <w:rPr>
          <w:b w:val="1"/>
          <w:bCs w:val="1"/>
          <w:sz w:val="28"/>
          <w:szCs w:val="28"/>
          <w:rtl w:val="0"/>
          <w:lang w:val="en-US"/>
        </w:rPr>
        <w:t>Integrated Science Studies</w:t>
      </w:r>
    </w:p>
    <w:p>
      <w:pPr>
        <w:pStyle w:val="Body"/>
      </w:pPr>
      <w:r>
        <w:rPr>
          <w:rtl w:val="0"/>
          <w:lang w:val="en-US"/>
        </w:rPr>
        <w:t>Recommended Four-Year Plan (Fall 2023)</w:t>
      </w:r>
    </w:p>
    <w:p>
      <w:pPr>
        <w:pStyle w:val="Body"/>
      </w:pPr>
    </w:p>
    <w:p>
      <w:pPr>
        <w:pStyle w:val="Body"/>
        <w:rPr>
          <w:sz w:val="20"/>
          <w:szCs w:val="20"/>
        </w:rPr>
      </w:pPr>
      <w:r>
        <w:rPr>
          <w:sz w:val="20"/>
          <w:szCs w:val="20"/>
          <w:rtl w:val="0"/>
          <w:lang w:val="en-US"/>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pPr>
        <w:pStyle w:val="Body"/>
        <w:rPr>
          <w:sz w:val="18"/>
          <w:szCs w:val="18"/>
        </w:rPr>
      </w:pPr>
      <w:r>
        <w:rPr>
          <w:b w:val="1"/>
          <w:bCs w:val="1"/>
          <w:sz w:val="20"/>
          <w:szCs w:val="20"/>
          <w:rtl w:val="0"/>
          <w:lang w:val="en-US"/>
        </w:rPr>
        <w:t>NOTE:</w:t>
      </w:r>
      <w:r>
        <w:rPr>
          <w:sz w:val="20"/>
          <w:szCs w:val="20"/>
          <w:rtl w:val="0"/>
          <w:lang w:val="en-US"/>
        </w:rPr>
        <w:t xml:space="preserve"> This recommended Four-Year Plan is applicable to students admitted into the major during the 2023-2024 academic year.</w:t>
      </w:r>
      <w:r>
        <w:rPr>
          <w:sz w:val="20"/>
          <w:szCs w:val="20"/>
        </w:rPr>
        <w:br w:type="textWrapping"/>
      </w: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780"/>
        <w:gridCol w:w="975"/>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First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INTD 101 - First Year Seminar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SOSC 110 - Social Science Inquiry</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CHEM 116 &amp; 116L </w:t>
            </w:r>
            <w:r>
              <w:rPr>
                <w:sz w:val="20"/>
                <w:szCs w:val="20"/>
                <w:shd w:val="nil" w:color="auto" w:fill="auto"/>
                <w:rtl w:val="0"/>
                <w:lang w:val="en-US"/>
              </w:rPr>
              <w:t xml:space="preserve">– </w:t>
            </w:r>
            <w:r>
              <w:rPr>
                <w:sz w:val="20"/>
                <w:szCs w:val="20"/>
                <w:shd w:val="nil" w:color="auto" w:fill="auto"/>
                <w:rtl w:val="0"/>
                <w:lang w:val="en-US"/>
              </w:rPr>
              <w:t>General Chemistry I Lecture &amp; Lab</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CHEM 117 &amp; 117L </w:t>
            </w:r>
            <w:r>
              <w:rPr>
                <w:sz w:val="20"/>
                <w:szCs w:val="20"/>
                <w:shd w:val="nil" w:color="auto" w:fill="auto"/>
                <w:rtl w:val="0"/>
                <w:lang w:val="en-US"/>
              </w:rPr>
              <w:t>–</w:t>
            </w:r>
            <w:r>
              <w:rPr>
                <w:sz w:val="20"/>
                <w:szCs w:val="20"/>
                <w:shd w:val="nil" w:color="auto" w:fill="auto"/>
                <w:rtl w:val="0"/>
                <w:lang w:val="en-US"/>
              </w:rPr>
              <w:t>General Chemistry II Lecture &amp; Lab</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CRWT 102 - Critical Reading Writing II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ENSC 103 - Introduction to Environmental Science</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Quantitative Reasoning - MATH 121 Calculus 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AIID 201 - Studies in Arts &amp; Humanities</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Career Pathways: PATH TS1 - Career Pathways Module 1</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17</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17</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18"/>
          <w:szCs w:val="18"/>
        </w:rPr>
      </w:pPr>
    </w:p>
    <w:p>
      <w:pPr>
        <w:pStyle w:val="Body"/>
        <w:rPr>
          <w:sz w:val="18"/>
          <w:szCs w:val="18"/>
        </w:rPr>
      </w:pPr>
    </w:p>
    <w:tbl>
      <w:tblPr>
        <w:tblW w:w="107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45"/>
        <w:gridCol w:w="1005"/>
        <w:gridCol w:w="520"/>
        <w:gridCol w:w="3855"/>
        <w:gridCol w:w="990"/>
        <w:gridCol w:w="435"/>
      </w:tblGrid>
      <w:tr>
        <w:tblPrEx>
          <w:shd w:val="clear" w:color="auto" w:fill="ced7e7"/>
        </w:tblPrEx>
        <w:trPr>
          <w:trHeight w:val="318" w:hRule="atLeast"/>
        </w:trPr>
        <w:tc>
          <w:tcPr>
            <w:tcW w:type="dxa" w:w="1075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Second Year</w:t>
            </w:r>
          </w:p>
        </w:tc>
      </w:tr>
      <w:tr>
        <w:tblPrEx>
          <w:shd w:val="clear" w:color="auto" w:fill="ced7e7"/>
        </w:tblPrEx>
        <w:trPr>
          <w:trHeight w:val="330" w:hRule="atLeast"/>
        </w:trPr>
        <w:tc>
          <w:tcPr>
            <w:tcW w:type="dxa" w:w="3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3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PHYS 111 - Fundamentals of Physics I &amp; PHYS 118L Introductory Physics I Lab</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PHYS 113 - Fundamentals of Physics II &amp; PHYS 119L Introductory Physics II Lab</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3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Historical Perspectives - SCIN 295 - Development of Scientific Thought</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Gen Ed: Global Awareness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3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PHYS 103 - Introduction to Astronomy </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62" w:hRule="atLeast"/>
        </w:trPr>
        <w:tc>
          <w:tcPr>
            <w:tcW w:type="dxa" w:w="3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Culture &amp; Creativity, Systems Sustainability &amp; Society, Values &amp; Ethics</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Gen Ed: Culture &amp; Creativity, Systems Sustainability &amp; Society, Values &amp; Ethics </w:t>
            </w:r>
            <w:r>
              <w:rPr>
                <w:b w:val="1"/>
                <w:bCs w:val="1"/>
                <w:sz w:val="20"/>
                <w:szCs w:val="20"/>
                <w:shd w:val="nil" w:color="auto" w:fill="auto"/>
                <w:rtl w:val="0"/>
                <w:lang w:val="en-US"/>
              </w:rPr>
              <w:t>(Must be outside of TAS)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00" w:hRule="atLeast"/>
        </w:trPr>
        <w:tc>
          <w:tcPr>
            <w:tcW w:type="dxa" w:w="3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Career Pathways: PATH TS2 - Career Pathways Module 2</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Career Pathways: PATH TS3 - Career Pathways Module 3</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3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17</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17</w:t>
            </w: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jc w:val="center"/>
        <w:rPr>
          <w:sz w:val="18"/>
          <w:szCs w:val="18"/>
        </w:rPr>
      </w:pPr>
    </w:p>
    <w:p>
      <w:pPr>
        <w:pStyle w:val="Body"/>
        <w:rPr>
          <w:sz w:val="18"/>
          <w:szCs w:val="1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1005"/>
        <w:gridCol w:w="345"/>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Third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GEOL 106 &amp; GEOL 106L-Fundamentals of Geology Lecture &amp; Lab 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BIOL 111 &amp; BIOL 111L-Fundamentals of Biology I Lecture &amp; LabWI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BIOL 113 &amp; BIOL 113L-Fundamentals of Biology II Lecture &amp; Lab</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i w:val="0"/>
                <w:iCs w:val="0"/>
                <w:sz w:val="20"/>
                <w:szCs w:val="20"/>
                <w:shd w:val="nil" w:color="auto" w:fill="auto"/>
                <w:rtl w:val="0"/>
                <w:lang w:val="en-US"/>
              </w:rPr>
              <w:t>*</w:t>
            </w:r>
            <w:r>
              <w:rPr>
                <w:b w:val="1"/>
                <w:bCs w:val="1"/>
                <w:i w:val="1"/>
                <w:iCs w:val="1"/>
                <w:sz w:val="20"/>
                <w:szCs w:val="20"/>
                <w:shd w:val="nil" w:color="auto" w:fill="auto"/>
                <w:rtl w:val="0"/>
                <w:lang w:val="en-US"/>
              </w:rPr>
              <w:t>See Year 3 Sequence for Concentrations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w:t>
            </w:r>
            <w:r>
              <w:rPr>
                <w:b w:val="1"/>
                <w:bCs w:val="1"/>
                <w:i w:val="1"/>
                <w:iCs w:val="1"/>
                <w:sz w:val="20"/>
                <w:szCs w:val="20"/>
                <w:shd w:val="nil" w:color="auto" w:fill="auto"/>
                <w:rtl w:val="0"/>
                <w:lang w:val="en-US"/>
              </w:rPr>
              <w:t>See Year 3 Sequence for Concentrations</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Experiential/Seminar Requirement</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.5-4</w:t>
            </w:r>
          </w:p>
        </w:tc>
        <w:tc>
          <w:tcPr>
            <w:tcW w:type="dxa" w:w="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15</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13.5-17</w:t>
            </w:r>
          </w:p>
        </w:tc>
        <w:tc>
          <w:tcPr>
            <w:tcW w:type="dxa" w:w="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Fourth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SCIN 435 Writing About about Science for Public Media </w:t>
            </w:r>
            <w:r>
              <w:rPr>
                <w:b w:val="1"/>
                <w:bCs w:val="1"/>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w:t>
            </w:r>
            <w:r>
              <w:rPr>
                <w:b w:val="1"/>
                <w:bCs w:val="1"/>
                <w:i w:val="1"/>
                <w:iCs w:val="1"/>
                <w:sz w:val="20"/>
                <w:szCs w:val="20"/>
                <w:shd w:val="nil" w:color="auto" w:fill="auto"/>
                <w:rtl w:val="0"/>
                <w:lang w:val="en-US"/>
              </w:rPr>
              <w:t>See Year 4 Sequence for Concentrations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 (if necessary)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w:t>
            </w:r>
            <w:r>
              <w:rPr>
                <w:b w:val="1"/>
                <w:bCs w:val="1"/>
                <w:i w:val="1"/>
                <w:iCs w:val="1"/>
                <w:sz w:val="20"/>
                <w:szCs w:val="20"/>
                <w:shd w:val="nil" w:color="auto" w:fill="auto"/>
                <w:rtl w:val="0"/>
                <w:lang w:val="en-US"/>
              </w:rPr>
              <w:t>See Year 4 Sequence for Concentrations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w:t>
            </w:r>
            <w:r>
              <w:rPr>
                <w:b w:val="1"/>
                <w:bCs w:val="1"/>
                <w:i w:val="1"/>
                <w:iCs w:val="1"/>
                <w:sz w:val="20"/>
                <w:szCs w:val="20"/>
                <w:shd w:val="nil" w:color="auto" w:fill="auto"/>
                <w:rtl w:val="0"/>
                <w:lang w:val="en-US"/>
              </w:rPr>
              <w:t>See Year 4 Sequence for Concentrations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18"/>
          <w:szCs w:val="18"/>
        </w:rPr>
      </w:pPr>
    </w:p>
    <w:p>
      <w:pPr>
        <w:pStyle w:val="Body"/>
      </w:pPr>
      <w:r>
        <w:br w:type="textWrapping"/>
      </w:r>
      <w:r>
        <w:rPr>
          <w:b w:val="1"/>
          <w:bCs w:val="1"/>
          <w:rtl w:val="0"/>
          <w:lang w:val="en-US"/>
        </w:rPr>
        <w:t xml:space="preserve">Total Credits Required: </w:t>
      </w:r>
      <w:r>
        <w:rPr>
          <w:rtl w:val="0"/>
          <w:lang w:val="en-US"/>
        </w:rPr>
        <w:t>128 credits</w:t>
      </w:r>
    </w:p>
    <w:p>
      <w:pPr>
        <w:pStyle w:val="Body"/>
      </w:pPr>
      <w:r>
        <w:rPr>
          <w:b w:val="1"/>
          <w:bCs w:val="1"/>
          <w:rtl w:val="0"/>
          <w:lang w:val="en-US"/>
        </w:rPr>
        <w:t>GPA Required:</w:t>
      </w:r>
      <w:r>
        <w:rPr>
          <w:rtl w:val="0"/>
        </w:rPr>
        <w:t xml:space="preserve"> 2.0</w:t>
      </w:r>
    </w:p>
    <w:p>
      <w:pPr>
        <w:pStyle w:val="Body"/>
        <w:rPr>
          <w:sz w:val="20"/>
          <w:szCs w:val="20"/>
        </w:rPr>
      </w:pPr>
      <w:r>
        <w:rPr>
          <w:b w:val="1"/>
          <w:bCs w:val="1"/>
          <w:sz w:val="20"/>
          <w:szCs w:val="20"/>
          <w:rtl w:val="0"/>
          <w:lang w:val="en-US"/>
        </w:rPr>
        <w:t>WI: Writing Intensive-3 required in the major</w:t>
      </w:r>
    </w:p>
    <w:p>
      <w:pPr>
        <w:pStyle w:val="Body"/>
        <w:rPr>
          <w:sz w:val="20"/>
          <w:szCs w:val="20"/>
        </w:rPr>
      </w:pPr>
    </w:p>
    <w:p>
      <w:pPr>
        <w:pStyle w:val="Body"/>
        <w:rPr>
          <w:b w:val="1"/>
          <w:bCs w:val="1"/>
          <w:sz w:val="20"/>
          <w:szCs w:val="20"/>
        </w:rPr>
      </w:pPr>
      <w:r>
        <w:rPr>
          <w:b w:val="1"/>
          <w:bCs w:val="1"/>
          <w:sz w:val="20"/>
          <w:szCs w:val="20"/>
          <w:rtl w:val="0"/>
          <w:lang w:val="en-US"/>
        </w:rPr>
        <w:t>Notes: Concentration courses, Experiential/Seminar Requirement, and Free electives can be switched around.</w:t>
      </w:r>
    </w:p>
    <w:p>
      <w:pPr>
        <w:pStyle w:val="Body"/>
        <w:rPr>
          <w:b w:val="1"/>
          <w:bCs w:val="1"/>
          <w:sz w:val="20"/>
          <w:szCs w:val="20"/>
        </w:rPr>
      </w:pPr>
    </w:p>
    <w:p>
      <w:pPr>
        <w:pStyle w:val="Body"/>
      </w:pPr>
      <w:r>
        <w:rPr>
          <w:sz w:val="20"/>
          <w:szCs w:val="20"/>
          <w:rtl w:val="0"/>
        </w:rPr>
        <w:t>*</w:t>
      </w:r>
      <w:r>
        <w:rPr>
          <w:b w:val="1"/>
          <w:bCs w:val="1"/>
          <w:sz w:val="20"/>
          <w:szCs w:val="20"/>
          <w:rtl w:val="0"/>
          <w:lang w:val="en-US"/>
        </w:rPr>
        <w:t>Total of 5 Concentration Courses are required. See College Catalog for Concentration details and course listings.</w:t>
      </w:r>
    </w:p>
    <w:sectPr>
      <w:headerReference w:type="default" r:id="rId5"/>
      <w:footerReference w:type="default" r:id="rId6"/>
      <w:pgSz w:w="12240" w:h="15840" w:orient="portrait"/>
      <w:pgMar w:top="360" w:right="864" w:bottom="864"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