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widowControl w:val="0"/>
        <w:spacing w:line="276" w:lineRule="auto"/>
      </w:pPr>
    </w:p>
    <w:p>
      <w:pPr>
        <w:pStyle w:val="Body"/>
      </w:pPr>
      <w:r>
        <w:drawing xmlns:a="http://schemas.openxmlformats.org/drawingml/2006/main">
          <wp:anchor distT="0" distB="0" distL="0" distR="0" simplePos="0" relativeHeight="251657216" behindDoc="1" locked="0" layoutInCell="1" allowOverlap="1">
            <wp:simplePos x="0" y="0"/>
            <wp:positionH relativeFrom="column">
              <wp:posOffset>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39" w:hRule="atLeast"/>
        </w:trPr>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0"/>
            </w:tcMar>
            <w:vAlign w:val="top"/>
          </w:tcPr>
          <w:p>
            <w:pPr>
              <w:pStyle w:val="Body"/>
              <w:ind w:left="1" w:hanging="1"/>
            </w:pPr>
            <w:r>
              <w:rPr>
                <w:b w:val="1"/>
                <w:bCs w:val="1"/>
                <w:sz w:val="26"/>
                <w:szCs w:val="26"/>
                <w:shd w:val="nil" w:color="auto" w:fill="auto"/>
                <w:rtl w:val="0"/>
                <w:lang w:val="en-US"/>
              </w:rPr>
              <w:t>School of Humanities and Global Studies</w:t>
            </w:r>
          </w:p>
        </w:tc>
      </w:tr>
    </w:tbl>
    <w:p>
      <w:pPr>
        <w:pStyle w:val="Body"/>
        <w:widowControl w:val="0"/>
        <w:spacing w:line="240" w:lineRule="auto"/>
      </w:pPr>
    </w:p>
    <w:p>
      <w:pPr>
        <w:pStyle w:val="Body"/>
        <w:ind w:left="1" w:hanging="1"/>
        <w:rPr>
          <w:sz w:val="28"/>
          <w:szCs w:val="28"/>
        </w:rPr>
      </w:pPr>
    </w:p>
    <w:p>
      <w:pPr>
        <w:pStyle w:val="Body"/>
        <w:ind w:left="1" w:hanging="1"/>
        <w:rPr>
          <w:sz w:val="28"/>
          <w:szCs w:val="28"/>
        </w:rPr>
      </w:pPr>
      <w:r>
        <w:rPr>
          <w:b w:val="1"/>
          <w:bCs w:val="1"/>
          <w:sz w:val="28"/>
          <w:szCs w:val="28"/>
          <w:rtl w:val="0"/>
          <w:lang w:val="en-US"/>
        </w:rPr>
        <w:t>English and Literary Studies</w:t>
      </w:r>
    </w:p>
    <w:p>
      <w:pPr>
        <w:pStyle w:val="Body"/>
        <w:rPr>
          <w:sz w:val="8"/>
          <w:szCs w:val="8"/>
        </w:rPr>
      </w:pPr>
      <w:r>
        <w:rPr>
          <w:rtl w:val="0"/>
          <w:lang w:val="en-US"/>
        </w:rPr>
        <w:t>Recommended Four-Year Plan (Fall 202</w:t>
      </w:r>
      <w:r>
        <w:rPr>
          <w:rtl w:val="0"/>
          <w:lang w:val="en-US"/>
        </w:rPr>
        <w:t>3</w:t>
      </w:r>
      <w:r>
        <w:rPr>
          <w:rtl w:val="0"/>
        </w:rPr>
        <w:t>)</w:t>
      </w:r>
      <w:r>
        <w:br w:type="textWrapping"/>
      </w:r>
    </w:p>
    <w:p>
      <w:pPr>
        <w:pStyle w:val="Body"/>
        <w:rPr>
          <w:sz w:val="20"/>
          <w:szCs w:val="20"/>
        </w:rPr>
      </w:pPr>
      <w:r>
        <w:rPr>
          <w:sz w:val="20"/>
          <w:szCs w:val="20"/>
          <w:rtl w:val="0"/>
          <w:lang w:val="en-US"/>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p>
    <w:p>
      <w:pPr>
        <w:pStyle w:val="Body"/>
        <w:rPr>
          <w:sz w:val="16"/>
          <w:szCs w:val="16"/>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First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Early Literature in English</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AIID 201- Studies in the Arts and Humanities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Global Awareness</w:t>
            </w:r>
          </w:p>
          <w:p>
            <w:pPr>
              <w:pStyle w:val="Body"/>
              <w:bidi w:val="0"/>
              <w:ind w:left="0" w:right="0" w:firstLine="0"/>
              <w:jc w:val="left"/>
              <w:rPr>
                <w:rtl w:val="0"/>
              </w:rPr>
            </w:pPr>
            <w:r>
              <w:rPr>
                <w:sz w:val="20"/>
                <w:szCs w:val="20"/>
                <w:shd w:val="nil" w:color="auto" w:fill="auto"/>
                <w:rtl w:val="0"/>
                <w:lang w:val="en-US"/>
              </w:rPr>
              <w:t>Major: LITR 203-Methods of Literary Study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Historical Perspectives</w:t>
            </w:r>
          </w:p>
          <w:p>
            <w:pPr>
              <w:pStyle w:val="Body"/>
              <w:bidi w:val="0"/>
              <w:ind w:left="0" w:right="0" w:firstLine="0"/>
              <w:jc w:val="left"/>
              <w:rPr>
                <w:rtl w:val="0"/>
              </w:rPr>
            </w:pPr>
            <w:r>
              <w:rPr>
                <w:sz w:val="20"/>
                <w:szCs w:val="20"/>
                <w:shd w:val="nil" w:color="auto" w:fill="auto"/>
                <w:rtl w:val="0"/>
                <w:lang w:val="en-US"/>
              </w:rPr>
              <w:t>LITR 101-Story of Literature (recommended to fulfill a LITR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SOSC 110-Social Science Inquiry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HG1 - Career Pathways Module 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16"/>
          <w:szCs w:val="16"/>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Second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School Core: Language I* or 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School Core: Language 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20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Distribution Category: Culture and Creativity (</w:t>
            </w:r>
            <w:r>
              <w:rPr>
                <w:b w:val="1"/>
                <w:bCs w:val="1"/>
                <w:sz w:val="20"/>
                <w:szCs w:val="20"/>
                <w:shd w:val="nil" w:color="auto" w:fill="auto"/>
                <w:rtl w:val="0"/>
                <w:lang w:val="en-US"/>
              </w:rPr>
              <w:t xml:space="preserve">Consider LITR 220, 221, 224, 244, 245, 280, 284, 292, 293, 295, or 308 to fulfill a LITR requirement)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Distribution Category: Values and Ethics (</w:t>
            </w:r>
            <w:r>
              <w:rPr>
                <w:b w:val="1"/>
                <w:bCs w:val="1"/>
                <w:sz w:val="20"/>
                <w:szCs w:val="20"/>
                <w:shd w:val="nil" w:color="auto" w:fill="auto"/>
                <w:rtl w:val="0"/>
                <w:lang w:val="en-US"/>
              </w:rPr>
              <w:t xml:space="preserve">Consider LITR 241, 306, or 366 to fulfill a LITR requirement) OR </w:t>
            </w:r>
            <w:r>
              <w:rPr>
                <w:sz w:val="20"/>
                <w:szCs w:val="20"/>
                <w:shd w:val="nil" w:color="auto" w:fill="auto"/>
                <w:rtl w:val="0"/>
                <w:lang w:val="en-US"/>
              </w:rPr>
              <w:t>Systems, Sustainability, and Society</w:t>
            </w:r>
            <w:r>
              <w:rPr>
                <w:b w:val="1"/>
                <w:bCs w:val="1"/>
                <w:sz w:val="20"/>
                <w:szCs w:val="20"/>
                <w:shd w:val="nil" w:color="auto" w:fill="auto"/>
                <w:rtl w:val="0"/>
                <w:lang w:val="en-US"/>
              </w:rPr>
              <w:t xml:space="preserve"> (Must be outside of HGS)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Diverse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Early Literature in English (</w:t>
            </w:r>
            <w:r>
              <w:rPr>
                <w:b w:val="1"/>
                <w:bCs w:val="1"/>
                <w:sz w:val="20"/>
                <w:szCs w:val="20"/>
                <w:shd w:val="nil" w:color="auto" w:fill="auto"/>
                <w:rtl w:val="0"/>
                <w:lang w:val="en-US"/>
              </w:rPr>
              <w:t>Consider LITR 244 to fulfill GE Culture/Creativity</w:t>
            </w:r>
            <w:r>
              <w:rPr>
                <w:sz w:val="20"/>
                <w:szCs w:val="20"/>
                <w:shd w:val="nil" w:color="auto" w:fill="auto"/>
                <w:rtl w:val="0"/>
                <w:lang w:val="en-US"/>
              </w:rPr>
              <w: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Global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Scientific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HG2 - Career Pathways Module 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HG3 - Career Pathways Module 3</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Third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LITR 319- Author Studies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Global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^Major: Critical Approaches</w:t>
            </w:r>
          </w:p>
          <w:p>
            <w:pPr>
              <w:pStyle w:val="Body"/>
              <w:bidi w:val="0"/>
              <w:ind w:left="0" w:right="0" w:firstLine="0"/>
              <w:jc w:val="left"/>
              <w:rPr>
                <w:rtl w:val="0"/>
              </w:rPr>
            </w:pPr>
            <w:r>
              <w:rPr>
                <w:sz w:val="20"/>
                <w:szCs w:val="20"/>
                <w:shd w:val="nil" w:color="auto" w:fill="auto"/>
                <w:rtl w:val="0"/>
                <w:lang w:val="en-US"/>
              </w:rPr>
              <w:t>(</w:t>
            </w:r>
            <w:r>
              <w:rPr>
                <w:b w:val="1"/>
                <w:bCs w:val="1"/>
                <w:sz w:val="20"/>
                <w:szCs w:val="20"/>
                <w:shd w:val="nil" w:color="auto" w:fill="auto"/>
                <w:rtl w:val="0"/>
                <w:lang w:val="en-US"/>
              </w:rPr>
              <w:t>Consider LITR 306 to fulfill GE Values/Ethics)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Literature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Diverse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Literature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Language III*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sz w:val="20"/>
          <w:szCs w:val="20"/>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Fourth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LITR 414 Literature Seminar</w:t>
            </w:r>
            <w:r>
              <w:rPr>
                <w:outline w:val="0"/>
                <w:color w:val="ff0000"/>
                <w:sz w:val="20"/>
                <w:szCs w:val="20"/>
                <w:u w:color="ff0000"/>
                <w:shd w:val="nil" w:color="auto" w:fill="auto"/>
                <w:rtl w:val="0"/>
                <w:lang w:val="en-US"/>
                <w14:textFill>
                  <w14:solidFill>
                    <w14:srgbClr w14:val="FF0000"/>
                  </w14:solidFill>
                </w14:textFill>
              </w:rPr>
              <w:t xml:space="preserve"> </w:t>
            </w:r>
            <w:r>
              <w:rPr>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b w:val="1"/>
          <w:bCs w:val="1"/>
          <w:sz w:val="20"/>
          <w:szCs w:val="20"/>
        </w:rPr>
      </w:pPr>
    </w:p>
    <w:p>
      <w:pPr>
        <w:pStyle w:val="Body"/>
        <w:rPr>
          <w:sz w:val="20"/>
          <w:szCs w:val="20"/>
        </w:rPr>
      </w:pPr>
      <w:r>
        <w:rPr>
          <w:b w:val="1"/>
          <w:bCs w:val="1"/>
          <w:sz w:val="20"/>
          <w:szCs w:val="20"/>
          <w:rtl w:val="0"/>
          <w:lang w:val="en-US"/>
        </w:rPr>
        <w:t xml:space="preserve">Total Credits Required: </w:t>
      </w:r>
      <w:r>
        <w:rPr>
          <w:sz w:val="20"/>
          <w:szCs w:val="20"/>
          <w:rtl w:val="0"/>
          <w:lang w:val="en-US"/>
        </w:rPr>
        <w:t>128 credits</w:t>
      </w:r>
    </w:p>
    <w:p>
      <w:pPr>
        <w:pStyle w:val="Body"/>
        <w:rPr>
          <w:sz w:val="20"/>
          <w:szCs w:val="20"/>
        </w:rPr>
      </w:pPr>
      <w:r>
        <w:rPr>
          <w:b w:val="1"/>
          <w:bCs w:val="1"/>
          <w:sz w:val="20"/>
          <w:szCs w:val="20"/>
          <w:rtl w:val="0"/>
        </w:rPr>
        <w:t>GPA:</w:t>
      </w:r>
      <w:r>
        <w:rPr>
          <w:sz w:val="20"/>
          <w:szCs w:val="20"/>
          <w:rtl w:val="0"/>
        </w:rPr>
        <w:t xml:space="preserve"> 2.0</w:t>
      </w:r>
    </w:p>
    <w:p>
      <w:pPr>
        <w:pStyle w:val="Body"/>
        <w:rPr>
          <w:sz w:val="20"/>
          <w:szCs w:val="20"/>
        </w:rPr>
      </w:pPr>
    </w:p>
    <w:p>
      <w:pPr>
        <w:pStyle w:val="Body"/>
        <w:rPr>
          <w:sz w:val="20"/>
          <w:szCs w:val="20"/>
        </w:rPr>
      </w:pPr>
      <w:r>
        <w:rPr>
          <w:b w:val="1"/>
          <w:bCs w:val="1"/>
          <w:i w:val="1"/>
          <w:iCs w:val="1"/>
          <w:sz w:val="20"/>
          <w:szCs w:val="20"/>
          <w:rtl w:val="0"/>
          <w:lang w:val="en-US"/>
        </w:rPr>
        <w:t>At least three (3) courses in the major must be at the 300-level.</w:t>
      </w:r>
    </w:p>
    <w:p>
      <w:pPr>
        <w:pStyle w:val="Body"/>
        <w:rPr>
          <w:sz w:val="20"/>
          <w:szCs w:val="20"/>
        </w:rPr>
      </w:pPr>
    </w:p>
    <w:p>
      <w:pPr>
        <w:pStyle w:val="Body"/>
        <w:rPr>
          <w:b w:val="1"/>
          <w:bCs w:val="1"/>
          <w:sz w:val="20"/>
          <w:szCs w:val="20"/>
        </w:rPr>
      </w:pPr>
      <w:r>
        <w:rPr>
          <w:b w:val="1"/>
          <w:bCs w:val="1"/>
          <w:sz w:val="20"/>
          <w:szCs w:val="20"/>
          <w:rtl w:val="0"/>
          <w:lang w:val="en-US"/>
        </w:rPr>
        <w:t>^Only two GenEd courses may double count for the major. For GenEd Distribution courses, one course MUST be taken outside of HGS.</w:t>
      </w:r>
    </w:p>
    <w:p>
      <w:pPr>
        <w:pStyle w:val="Body"/>
        <w:rPr>
          <w:b w:val="1"/>
          <w:bCs w:val="1"/>
          <w:sz w:val="20"/>
          <w:szCs w:val="20"/>
        </w:rPr>
      </w:pPr>
    </w:p>
    <w:p>
      <w:pPr>
        <w:pStyle w:val="Body"/>
        <w:rPr>
          <w:sz w:val="20"/>
          <w:szCs w:val="20"/>
        </w:rPr>
      </w:pPr>
      <w:r>
        <w:rPr>
          <w:sz w:val="20"/>
          <w:szCs w:val="20"/>
          <w:rtl w:val="0"/>
          <w:lang w:val="en-US"/>
        </w:rPr>
        <w:t>+ May Double Count in General Education and Major</w:t>
      </w:r>
    </w:p>
    <w:p>
      <w:pPr>
        <w:pStyle w:val="Body"/>
        <w:rPr>
          <w:sz w:val="20"/>
          <w:szCs w:val="20"/>
        </w:rPr>
      </w:pPr>
    </w:p>
    <w:p>
      <w:pPr>
        <w:pStyle w:val="Body"/>
        <w:rPr>
          <w:sz w:val="20"/>
          <w:szCs w:val="20"/>
        </w:rPr>
      </w:pPr>
      <w:r>
        <w:rPr>
          <w:sz w:val="20"/>
          <w:szCs w:val="20"/>
          <w:rtl w:val="0"/>
          <w:lang w:val="en-US"/>
        </w:rPr>
        <w:t>*If Needed</w:t>
      </w:r>
    </w:p>
    <w:p>
      <w:pPr>
        <w:pStyle w:val="Body"/>
        <w:rPr>
          <w:sz w:val="20"/>
          <w:szCs w:val="20"/>
        </w:rPr>
      </w:pPr>
    </w:p>
    <w:p>
      <w:pPr>
        <w:pStyle w:val="Body"/>
        <w:rPr>
          <w:b w:val="1"/>
          <w:bCs w:val="1"/>
          <w:i w:val="1"/>
          <w:iCs w:val="1"/>
          <w:sz w:val="20"/>
          <w:szCs w:val="20"/>
        </w:rPr>
      </w:pPr>
      <w:r>
        <w:rPr>
          <w:b w:val="1"/>
          <w:bCs w:val="1"/>
          <w:i w:val="1"/>
          <w:iCs w:val="1"/>
          <w:sz w:val="20"/>
          <w:szCs w:val="20"/>
          <w:rtl w:val="0"/>
          <w:lang w:val="en-US"/>
        </w:rPr>
        <w:t>With 8 elective courses, students may consider: double major, minor or Teacher Education Certification program.</w:t>
      </w:r>
    </w:p>
    <w:p>
      <w:pPr>
        <w:pStyle w:val="Body"/>
        <w:rPr>
          <w:b w:val="1"/>
          <w:bCs w:val="1"/>
          <w:i w:val="1"/>
          <w:iCs w:val="1"/>
          <w:sz w:val="20"/>
          <w:szCs w:val="20"/>
        </w:rPr>
      </w:pPr>
    </w:p>
    <w:p>
      <w:pPr>
        <w:pStyle w:val="Body"/>
      </w:pPr>
      <w:r>
        <w:rPr>
          <w:sz w:val="20"/>
          <w:szCs w:val="20"/>
          <w:rtl w:val="0"/>
          <w:lang w:val="en-US"/>
        </w:rPr>
        <w:t>WI- Writing intensive courses needed prior to graduation</w:t>
      </w:r>
    </w:p>
    <w:sectPr>
      <w:headerReference w:type="default" r:id="rId5"/>
      <w:footerReference w:type="default" r:id="rId6"/>
      <w:pgSz w:w="12240" w:h="15840" w:orient="portrait"/>
      <w:pgMar w:top="360" w:right="864" w:bottom="360"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0" w:lineRule="atLeast"/>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2"/>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