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0" distB="0" distL="0" distR="0" simplePos="0" relativeHeight="251659264" behindDoc="0" locked="0" layoutInCell="1" allowOverlap="1">
            <wp:simplePos x="0" y="0"/>
            <wp:positionH relativeFrom="column">
              <wp:posOffset>114300</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09" w:hRule="atLeast"/>
        </w:trPr>
        <w:tc>
          <w:tcPr>
            <w:tcW w:type="dxa" w:w="5364"/>
            <w:tcBorders>
              <w:top w:val="nil"/>
              <w:left w:val="nil"/>
              <w:bottom w:val="nil"/>
              <w:right w:val="nil"/>
            </w:tcBorders>
            <w:shd w:val="clear" w:color="auto" w:fill="auto"/>
            <w:tcMar>
              <w:top w:type="dxa" w:w="80"/>
              <w:left w:type="dxa" w:w="80"/>
              <w:bottom w:type="dxa" w:w="80"/>
              <w:right w:type="dxa" w:w="80"/>
            </w:tcMar>
            <w:vAlign w:val="top"/>
          </w:tcPr>
          <w:p/>
        </w:tc>
        <w:tc>
          <w:tcPr>
            <w:tcW w:type="dxa" w:w="536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Theoretical and Applied Science</w:t>
            </w:r>
          </w:p>
        </w:tc>
      </w:tr>
    </w:tbl>
    <w:p>
      <w:pPr>
        <w:pStyle w:val="Body"/>
        <w:widowControl w:val="0"/>
      </w:pPr>
    </w:p>
    <w:p>
      <w:pPr>
        <w:pStyle w:val="Body"/>
        <w:rPr>
          <w:sz w:val="28"/>
          <w:szCs w:val="28"/>
        </w:rPr>
      </w:pPr>
    </w:p>
    <w:p>
      <w:pPr>
        <w:pStyle w:val="Body"/>
        <w:rPr>
          <w:sz w:val="28"/>
          <w:szCs w:val="28"/>
        </w:rPr>
      </w:pPr>
      <w:r>
        <w:rPr>
          <w:b w:val="1"/>
          <w:bCs w:val="1"/>
          <w:sz w:val="28"/>
          <w:szCs w:val="28"/>
        </w:rPr>
        <w:br w:type="textWrapping"/>
      </w:r>
      <w:r>
        <w:rPr>
          <w:b w:val="1"/>
          <w:bCs w:val="1"/>
          <w:sz w:val="28"/>
          <w:szCs w:val="28"/>
          <w:rtl w:val="0"/>
          <w:lang w:val="en-US"/>
        </w:rPr>
        <w:t>Engineering Physics</w:t>
      </w:r>
    </w:p>
    <w:p>
      <w:pPr>
        <w:pStyle w:val="Body"/>
        <w:rPr>
          <w:sz w:val="18"/>
          <w:szCs w:val="18"/>
        </w:rPr>
      </w:pPr>
      <w:r>
        <w:rPr>
          <w:rtl w:val="0"/>
          <w:lang w:val="en-US"/>
        </w:rPr>
        <w:t>Recommended Four-Year Plan (Fall 202</w:t>
      </w:r>
      <w:r>
        <w:rPr>
          <w:rtl w:val="0"/>
          <w:lang w:val="en-US"/>
        </w:rPr>
        <w:t>3</w:t>
      </w:r>
      <w:r>
        <w:rPr>
          <w:rtl w:val="0"/>
        </w:rPr>
        <w:t>)</w:t>
      </w:r>
      <w:r>
        <w:br w:type="textWrapping"/>
      </w:r>
    </w:p>
    <w:p>
      <w:pPr>
        <w:pStyle w:val="Body"/>
        <w:rPr>
          <w:sz w:val="20"/>
          <w:szCs w:val="20"/>
        </w:rPr>
      </w:pPr>
      <w:r>
        <w:rPr>
          <w:sz w:val="20"/>
          <w:szCs w:val="20"/>
          <w:rtl w:val="0"/>
          <w:lang w:val="en-US"/>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pPr>
        <w:pStyle w:val="Body"/>
        <w:rPr>
          <w:sz w:val="18"/>
          <w:szCs w:val="18"/>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w:t>
      </w:r>
      <w:r>
        <w:rPr>
          <w:sz w:val="20"/>
          <w:szCs w:val="20"/>
          <w:rtl w:val="0"/>
          <w:lang w:val="en-US"/>
        </w:rPr>
        <w:t>3</w:t>
      </w:r>
      <w:r>
        <w:rPr>
          <w:sz w:val="20"/>
          <w:szCs w:val="20"/>
          <w:rtl w:val="0"/>
        </w:rPr>
        <w:t>-202</w:t>
      </w:r>
      <w:r>
        <w:rPr>
          <w:sz w:val="20"/>
          <w:szCs w:val="20"/>
          <w:rtl w:val="0"/>
          <w:lang w:val="en-US"/>
        </w:rPr>
        <w:t>4</w:t>
      </w:r>
      <w:r>
        <w:rPr>
          <w:sz w:val="20"/>
          <w:szCs w:val="20"/>
          <w:rtl w:val="0"/>
          <w:lang w:val="en-US"/>
        </w:rPr>
        <w:t xml:space="preserve"> academic year.</w:t>
      </w:r>
      <w:r>
        <w:rPr>
          <w:sz w:val="20"/>
          <w:szCs w:val="20"/>
        </w:rPr>
        <w:br w:type="textWrapping"/>
      </w: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990"/>
        <w:gridCol w:w="36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PHYS 116 and PHYS 116L - Physics I w/Calculus and Introductory Physics I Lab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117 and PHYS 117L-Physics w/ Calculus II and Introductory Physics II Lab</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MATH 121- Calculus 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122-Calculus II</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INTD 101-First Year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SOSC 110-Social Science Inquiry</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102-Critical Reading &amp; Writing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Historical Perspectives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1: PATH TS1</w:t>
            </w:r>
          </w:p>
          <w:p>
            <w:pPr>
              <w:pStyle w:val="Body"/>
              <w:bidi w:val="0"/>
              <w:ind w:left="0" w:right="0" w:firstLine="0"/>
              <w:jc w:val="left"/>
              <w:rPr>
                <w:rtl w:val="0"/>
              </w:rPr>
            </w:pPr>
            <w:r>
              <w:rPr>
                <w:sz w:val="20"/>
                <w:szCs w:val="20"/>
                <w:shd w:val="nil" w:color="auto" w:fill="auto"/>
                <w:rtl w:val="0"/>
                <w:lang w:val="en-US"/>
              </w:rPr>
              <w:t>Career Assessment/Advising</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17</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17</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930"/>
        <w:gridCol w:w="420"/>
        <w:gridCol w:w="3925"/>
        <w:gridCol w:w="930"/>
        <w:gridCol w:w="4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PHYS 214-Modern Physics </w:t>
            </w:r>
            <w:r>
              <w:rPr>
                <w:b w:val="1"/>
                <w:bCs w:val="1"/>
                <w:sz w:val="20"/>
                <w:szCs w:val="20"/>
                <w:shd w:val="nil" w:color="auto" w:fill="auto"/>
                <w:rtl w:val="0"/>
                <w:lang w:val="en-US"/>
              </w:rPr>
              <w:t>WI</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MATH 305-Differential Equations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PHYS 215- Modern Physics Techniques and Measurements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CMPS 147-Computer Science I</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MATH 225-Multivariable Calculus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PHYS 242-Electronic Circuits &amp; Devices </w:t>
            </w:r>
            <w:r>
              <w:rPr>
                <w:b w:val="1"/>
                <w:bCs w:val="1"/>
                <w:sz w:val="20"/>
                <w:szCs w:val="20"/>
                <w:shd w:val="nil" w:color="auto" w:fill="auto"/>
                <w:rtl w:val="0"/>
                <w:lang w:val="en-US"/>
              </w:rPr>
              <w:t>WI</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AIID 201-Studies in Arts &amp; Humanities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Global Awareness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2: PATH TS2</w:t>
            </w:r>
          </w:p>
          <w:p>
            <w:pPr>
              <w:pStyle w:val="Body"/>
              <w:bidi w:val="0"/>
              <w:ind w:left="0" w:right="0" w:firstLine="0"/>
              <w:jc w:val="left"/>
              <w:rPr>
                <w:rtl w:val="0"/>
              </w:rPr>
            </w:pPr>
            <w:r>
              <w:rPr>
                <w:sz w:val="20"/>
                <w:szCs w:val="20"/>
                <w:shd w:val="nil" w:color="auto" w:fill="auto"/>
                <w:rtl w:val="0"/>
                <w:lang w:val="en-US"/>
              </w:rPr>
              <w:t>Resume/CV Writing</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3: PATH TS3</w:t>
            </w:r>
          </w:p>
          <w:p>
            <w:pPr>
              <w:pStyle w:val="Body"/>
              <w:bidi w:val="0"/>
              <w:ind w:left="0" w:right="0" w:firstLine="0"/>
              <w:jc w:val="left"/>
              <w:rPr>
                <w:rtl w:val="0"/>
              </w:rPr>
            </w:pPr>
            <w:r>
              <w:rPr>
                <w:sz w:val="20"/>
                <w:szCs w:val="20"/>
                <w:shd w:val="nil" w:color="auto" w:fill="auto"/>
                <w:rtl w:val="0"/>
                <w:lang w:val="en-US"/>
              </w:rPr>
              <w:t>Interview Preparation</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323-Electrodynamics 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350-Thermodynamics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322-Advanced Mechanics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Gen Ed: Culture &amp; Creativity, Systems Sustainability &amp; Society, or Values &amp; Ethics </w:t>
            </w:r>
            <w:r>
              <w:rPr>
                <w:b w:val="1"/>
                <w:bCs w:val="1"/>
                <w:sz w:val="20"/>
                <w:szCs w:val="20"/>
                <w:shd w:val="nil" w:color="auto" w:fill="auto"/>
                <w:rtl w:val="0"/>
                <w:lang w:val="en-US"/>
              </w:rPr>
              <w:t>(Must be outside of TAS)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Culture &amp; Creativity, Systems Sustainability &amp; Society, or Values &amp; Ethics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423-Quantum Mechanics 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PHYS 431-Experimental Methods </w:t>
            </w:r>
            <w:r>
              <w:rPr>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PHYS 422-Cond. Matter &amp; Nuclear Physics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pPr>
      <w:r>
        <w:br w:type="textWrapping"/>
      </w:r>
      <w:r>
        <w:rPr>
          <w:b w:val="1"/>
          <w:bCs w:val="1"/>
          <w:rtl w:val="0"/>
          <w:lang w:val="en-US"/>
        </w:rPr>
        <w:t xml:space="preserve">Total Credits Required: </w:t>
      </w:r>
      <w:r>
        <w:rPr>
          <w:rtl w:val="0"/>
          <w:lang w:val="en-US"/>
        </w:rPr>
        <w:t>128 credits</w:t>
      </w:r>
    </w:p>
    <w:p>
      <w:pPr>
        <w:pStyle w:val="Body"/>
      </w:pPr>
      <w:r>
        <w:rPr>
          <w:b w:val="1"/>
          <w:bCs w:val="1"/>
          <w:rtl w:val="0"/>
          <w:lang w:val="en-US"/>
        </w:rPr>
        <w:t>GPA required:</w:t>
      </w:r>
      <w:r>
        <w:rPr>
          <w:rtl w:val="0"/>
        </w:rPr>
        <w:t xml:space="preserve"> 2.0</w:t>
      </w:r>
    </w:p>
    <w:p>
      <w:pPr>
        <w:pStyle w:val="Body"/>
      </w:pPr>
      <w:r>
        <w:rPr>
          <w:b w:val="1"/>
          <w:bCs w:val="1"/>
          <w:sz w:val="20"/>
          <w:szCs w:val="20"/>
          <w:rtl w:val="0"/>
          <w:lang w:val="en-US"/>
        </w:rPr>
        <w:t>WI: Writing Intensive-3 required in the major</w:t>
      </w:r>
      <w:r>
        <w:rPr>
          <w:sz w:val="20"/>
          <w:szCs w:val="20"/>
        </w:rPr>
      </w:r>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