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859F" w14:textId="77777777" w:rsidR="00C00693" w:rsidRDefault="00D452D8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 wp14:anchorId="5DB4B02B" wp14:editId="77D73C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C00693" w14:paraId="267D3ADD" w14:textId="77777777">
        <w:tc>
          <w:tcPr>
            <w:tcW w:w="5364" w:type="dxa"/>
          </w:tcPr>
          <w:p w14:paraId="335FD77D" w14:textId="77777777" w:rsidR="00C00693" w:rsidRDefault="00C00693">
            <w:pPr>
              <w:rPr>
                <w:sz w:val="18"/>
                <w:szCs w:val="18"/>
              </w:rPr>
            </w:pPr>
          </w:p>
        </w:tc>
        <w:tc>
          <w:tcPr>
            <w:tcW w:w="5364" w:type="dxa"/>
          </w:tcPr>
          <w:p w14:paraId="7EDAAF1F" w14:textId="77777777" w:rsidR="00C00693" w:rsidRDefault="00D452D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14:paraId="2D47FAD7" w14:textId="77777777" w:rsidR="00C00693" w:rsidRDefault="00C00693">
      <w:pPr>
        <w:rPr>
          <w:sz w:val="18"/>
          <w:szCs w:val="18"/>
        </w:rPr>
      </w:pPr>
    </w:p>
    <w:p w14:paraId="3D6ED9AE" w14:textId="77777777" w:rsidR="00C00693" w:rsidRDefault="00D452D8">
      <w:pPr>
        <w:rPr>
          <w:sz w:val="28"/>
          <w:szCs w:val="28"/>
        </w:rPr>
      </w:pPr>
      <w:r>
        <w:rPr>
          <w:b/>
          <w:sz w:val="18"/>
          <w:szCs w:val="18"/>
        </w:rPr>
        <w:br/>
      </w:r>
    </w:p>
    <w:p w14:paraId="60A1BE4D" w14:textId="77777777" w:rsidR="00C00693" w:rsidRDefault="00D452D8">
      <w:pPr>
        <w:rPr>
          <w:sz w:val="28"/>
          <w:szCs w:val="28"/>
        </w:rPr>
      </w:pPr>
      <w:r>
        <w:rPr>
          <w:b/>
          <w:sz w:val="28"/>
          <w:szCs w:val="28"/>
        </w:rPr>
        <w:t>Social Work</w:t>
      </w:r>
    </w:p>
    <w:p w14:paraId="380E84DD" w14:textId="77777777" w:rsidR="00C00693" w:rsidRDefault="00D452D8">
      <w:pPr>
        <w:rPr>
          <w:sz w:val="4"/>
          <w:szCs w:val="4"/>
        </w:rPr>
      </w:pPr>
      <w:r>
        <w:t>Recommended Four-Year Plan (Fall 20</w:t>
      </w:r>
      <w:r>
        <w:t>23</w:t>
      </w:r>
      <w:r>
        <w:t>)</w:t>
      </w:r>
      <w:r>
        <w:br/>
      </w:r>
    </w:p>
    <w:p w14:paraId="200BD38D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14:paraId="00BF83B8" w14:textId="77777777" w:rsidR="00C00693" w:rsidRDefault="00C00693">
      <w:pPr>
        <w:rPr>
          <w:sz w:val="20"/>
          <w:szCs w:val="20"/>
        </w:rPr>
      </w:pPr>
    </w:p>
    <w:p w14:paraId="4E2CE5DC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>NOTE: This recommended Four-Year Plan is applicable to stu</w:t>
      </w:r>
      <w:r>
        <w:rPr>
          <w:sz w:val="20"/>
          <w:szCs w:val="20"/>
        </w:rPr>
        <w:t>dents admitted into the major during the 20</w:t>
      </w:r>
      <w:r>
        <w:rPr>
          <w:sz w:val="20"/>
          <w:szCs w:val="20"/>
        </w:rPr>
        <w:t>23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academic year.</w:t>
      </w:r>
    </w:p>
    <w:p w14:paraId="2B7B15B8" w14:textId="77777777" w:rsidR="00C00693" w:rsidRDefault="00C00693">
      <w:pPr>
        <w:rPr>
          <w:sz w:val="20"/>
          <w:szCs w:val="20"/>
        </w:rPr>
      </w:pPr>
    </w:p>
    <w:p w14:paraId="2BFD0F42" w14:textId="77777777" w:rsidR="00C00693" w:rsidRDefault="00C00693">
      <w:pPr>
        <w:rPr>
          <w:sz w:val="20"/>
          <w:szCs w:val="20"/>
        </w:rPr>
      </w:pPr>
    </w:p>
    <w:p w14:paraId="263F2188" w14:textId="77777777" w:rsidR="00C00693" w:rsidRDefault="00C00693">
      <w:pPr>
        <w:rPr>
          <w:rFonts w:ascii="Arial Narrow" w:eastAsia="Arial Narrow" w:hAnsi="Arial Narrow" w:cs="Arial Narrow"/>
          <w:sz w:val="8"/>
          <w:szCs w:val="8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C00693" w14:paraId="254ECC47" w14:textId="77777777">
        <w:trPr>
          <w:trHeight w:val="413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EF62DFB" w14:textId="77777777" w:rsidR="00C00693" w:rsidRDefault="00D452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C00693" w14:paraId="0B8951BF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5AFF8E51" w14:textId="77777777" w:rsidR="00C00693" w:rsidRDefault="00D452D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903A10E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B465194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13B47D26" w14:textId="77777777" w:rsidR="00C00693" w:rsidRDefault="00D452D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E31E13E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A9AB11C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00693" w14:paraId="4F875BEF" w14:textId="77777777">
        <w:trPr>
          <w:trHeight w:val="705"/>
          <w:jc w:val="center"/>
        </w:trPr>
        <w:tc>
          <w:tcPr>
            <w:tcW w:w="4121" w:type="dxa"/>
          </w:tcPr>
          <w:p w14:paraId="2E11C64F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</w:t>
            </w:r>
          </w:p>
          <w:p w14:paraId="7AF187D5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INTD 101 FYS First Year Seminar </w:t>
            </w:r>
          </w:p>
        </w:tc>
        <w:tc>
          <w:tcPr>
            <w:tcW w:w="830" w:type="dxa"/>
          </w:tcPr>
          <w:p w14:paraId="1EF4ECFE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3534946E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3D2F16B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14:paraId="5287C472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Reasoning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3D883250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CFF0C4B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067A2D1B" w14:textId="77777777">
        <w:trPr>
          <w:trHeight w:val="272"/>
          <w:jc w:val="center"/>
        </w:trPr>
        <w:tc>
          <w:tcPr>
            <w:tcW w:w="4121" w:type="dxa"/>
          </w:tcPr>
          <w:p w14:paraId="16DEACA1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 Keystone Course &amp;</w:t>
            </w:r>
          </w:p>
          <w:p w14:paraId="779156EE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 Social Science Inquiry</w:t>
            </w:r>
          </w:p>
        </w:tc>
        <w:tc>
          <w:tcPr>
            <w:tcW w:w="830" w:type="dxa"/>
          </w:tcPr>
          <w:p w14:paraId="1DC0DC61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AD328B8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61CDC627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Studies in Arts and Humanities</w:t>
            </w:r>
          </w:p>
        </w:tc>
        <w:tc>
          <w:tcPr>
            <w:tcW w:w="830" w:type="dxa"/>
          </w:tcPr>
          <w:p w14:paraId="2E379F8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6F0FF2D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2251BB9F" w14:textId="77777777">
        <w:trPr>
          <w:trHeight w:val="272"/>
          <w:jc w:val="center"/>
        </w:trPr>
        <w:tc>
          <w:tcPr>
            <w:tcW w:w="4121" w:type="dxa"/>
          </w:tcPr>
          <w:p w14:paraId="18210A6D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</w:t>
            </w:r>
          </w:p>
          <w:p w14:paraId="4699B21E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CRWT 102—Critical Reading and Writing II</w:t>
            </w:r>
          </w:p>
        </w:tc>
        <w:tc>
          <w:tcPr>
            <w:tcW w:w="830" w:type="dxa"/>
          </w:tcPr>
          <w:p w14:paraId="1152FD6C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37D0C784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5F82DE08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Historical Perspectives </w:t>
            </w:r>
          </w:p>
        </w:tc>
        <w:tc>
          <w:tcPr>
            <w:tcW w:w="830" w:type="dxa"/>
          </w:tcPr>
          <w:p w14:paraId="3A8CB2E5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2B7DACD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496606C7" w14:textId="77777777">
        <w:trPr>
          <w:trHeight w:val="272"/>
          <w:jc w:val="center"/>
        </w:trPr>
        <w:tc>
          <w:tcPr>
            <w:tcW w:w="4121" w:type="dxa"/>
          </w:tcPr>
          <w:p w14:paraId="349791BD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SSHS School Core School Core: Sustainability, Society and Civic Mindedness &amp; Social Work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>: PSYC 101—Introduction to Psychology</w:t>
            </w:r>
          </w:p>
        </w:tc>
        <w:tc>
          <w:tcPr>
            <w:tcW w:w="830" w:type="dxa"/>
          </w:tcPr>
          <w:p w14:paraId="35BEC45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28039A4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3C302D35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 xml:space="preserve">: SOCI 101 Introduction to Sociology </w:t>
            </w:r>
            <w:r>
              <w:rPr>
                <w:sz w:val="20"/>
                <w:szCs w:val="20"/>
              </w:rPr>
              <w:t>(OR)</w:t>
            </w:r>
            <w:r>
              <w:rPr>
                <w:sz w:val="20"/>
                <w:szCs w:val="20"/>
              </w:rPr>
              <w:t xml:space="preserve"> SOCI 232 Soc</w:t>
            </w:r>
            <w:r>
              <w:rPr>
                <w:sz w:val="20"/>
                <w:szCs w:val="20"/>
              </w:rPr>
              <w:t xml:space="preserve">iology of the Family (OR) </w:t>
            </w:r>
            <w:r>
              <w:rPr>
                <w:color w:val="222222"/>
                <w:sz w:val="20"/>
                <w:szCs w:val="20"/>
              </w:rPr>
              <w:t>SOCI 205 Sociology of Aging</w:t>
            </w:r>
          </w:p>
        </w:tc>
        <w:tc>
          <w:tcPr>
            <w:tcW w:w="830" w:type="dxa"/>
          </w:tcPr>
          <w:p w14:paraId="1F4321F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6D7C0202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0221D16F" w14:textId="77777777">
        <w:trPr>
          <w:trHeight w:val="272"/>
          <w:jc w:val="center"/>
        </w:trPr>
        <w:tc>
          <w:tcPr>
            <w:tcW w:w="4121" w:type="dxa"/>
          </w:tcPr>
          <w:p w14:paraId="6A1EEA77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F15BFD5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406D17BC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5A78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SS1 – Career Pathways Module 1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78E5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14:paraId="504DD816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5567973D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4E611E75" w14:textId="77777777">
        <w:trPr>
          <w:trHeight w:val="287"/>
          <w:jc w:val="center"/>
        </w:trPr>
        <w:tc>
          <w:tcPr>
            <w:tcW w:w="4121" w:type="dxa"/>
          </w:tcPr>
          <w:p w14:paraId="666C53BB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64D526EB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6042EB1F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242F7BB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5E2670E3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03C597E7" w14:textId="77777777" w:rsidR="00C00693" w:rsidRDefault="00C00693">
            <w:pPr>
              <w:rPr>
                <w:sz w:val="20"/>
                <w:szCs w:val="20"/>
              </w:rPr>
            </w:pPr>
          </w:p>
        </w:tc>
      </w:tr>
    </w:tbl>
    <w:p w14:paraId="7EDA486A" w14:textId="77777777" w:rsidR="00C00693" w:rsidRDefault="00C00693">
      <w:pPr>
        <w:rPr>
          <w:sz w:val="20"/>
          <w:szCs w:val="20"/>
        </w:rPr>
      </w:pPr>
    </w:p>
    <w:p w14:paraId="17190984" w14:textId="77777777" w:rsidR="00C00693" w:rsidRDefault="00C00693">
      <w:pPr>
        <w:rPr>
          <w:sz w:val="20"/>
          <w:szCs w:val="20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C00693" w14:paraId="1CCC9565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368EBBEF" w14:textId="77777777" w:rsidR="00C00693" w:rsidRDefault="00D452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C00693" w14:paraId="32A99D9B" w14:textId="7777777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6F8C07CC" w14:textId="77777777" w:rsidR="00C00693" w:rsidRDefault="00D452D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6A142195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159305D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75A13474" w14:textId="77777777" w:rsidR="00C00693" w:rsidRDefault="00D452D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446629B8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E5B611F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00693" w14:paraId="358F6FEE" w14:textId="77777777">
        <w:trPr>
          <w:trHeight w:val="525"/>
          <w:jc w:val="center"/>
        </w:trPr>
        <w:tc>
          <w:tcPr>
            <w:tcW w:w="4121" w:type="dxa"/>
            <w:shd w:val="clear" w:color="auto" w:fill="FFFFFF"/>
          </w:tcPr>
          <w:p w14:paraId="301017C1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>: SWRK 222 History and Philosophy of Social Welfare</w:t>
            </w:r>
          </w:p>
        </w:tc>
        <w:tc>
          <w:tcPr>
            <w:tcW w:w="830" w:type="dxa"/>
            <w:shd w:val="clear" w:color="auto" w:fill="FFFFFF"/>
          </w:tcPr>
          <w:p w14:paraId="746C15C9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718CB594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3E1EEED2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202 Political Economy of Social Welfare OR ECON 102 Introduction to Macro Economics</w:t>
            </w:r>
          </w:p>
        </w:tc>
        <w:tc>
          <w:tcPr>
            <w:tcW w:w="830" w:type="dxa"/>
            <w:shd w:val="clear" w:color="auto" w:fill="FFFFFF"/>
          </w:tcPr>
          <w:p w14:paraId="43BCB219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390951AF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3FF4CBC5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5AC5D0A1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Keystone Course Global Awareness </w:t>
            </w:r>
          </w:p>
        </w:tc>
        <w:tc>
          <w:tcPr>
            <w:tcW w:w="830" w:type="dxa"/>
            <w:shd w:val="clear" w:color="auto" w:fill="FFFFFF"/>
          </w:tcPr>
          <w:p w14:paraId="71E1A227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7816A10F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172DB610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SSHS School Core:</w:t>
            </w:r>
          </w:p>
          <w:p w14:paraId="4FAE2FCB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SOSC 235—History of Social Thought</w:t>
            </w:r>
          </w:p>
        </w:tc>
        <w:tc>
          <w:tcPr>
            <w:tcW w:w="830" w:type="dxa"/>
            <w:shd w:val="clear" w:color="auto" w:fill="FFFFFF"/>
          </w:tcPr>
          <w:p w14:paraId="686C707C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3243AE9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53747193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3A1737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>: SWRK 225 Introduction to Social Work</w:t>
            </w:r>
          </w:p>
        </w:tc>
        <w:tc>
          <w:tcPr>
            <w:tcW w:w="830" w:type="dxa"/>
            <w:shd w:val="clear" w:color="auto" w:fill="FFFFFF"/>
          </w:tcPr>
          <w:p w14:paraId="289959D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1E197F07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532B002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270 Cultural Diversity: Racism, Oppression, &amp; Privilege</w:t>
            </w:r>
          </w:p>
        </w:tc>
        <w:tc>
          <w:tcPr>
            <w:tcW w:w="830" w:type="dxa"/>
            <w:shd w:val="clear" w:color="auto" w:fill="FFFFFF"/>
          </w:tcPr>
          <w:p w14:paraId="33B2362E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56D56444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06C3111A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3535EB52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Keystone Course Scientific Reasoning</w:t>
            </w:r>
            <w:r>
              <w:rPr>
                <w:sz w:val="20"/>
                <w:szCs w:val="20"/>
              </w:rPr>
              <w:br/>
              <w:t xml:space="preserve">(BIOL 101-Intro to Biology recommended) </w:t>
            </w:r>
          </w:p>
        </w:tc>
        <w:tc>
          <w:tcPr>
            <w:tcW w:w="830" w:type="dxa"/>
            <w:shd w:val="clear" w:color="auto" w:fill="FFFFFF"/>
          </w:tcPr>
          <w:p w14:paraId="7091773D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17983FD2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46D51B0E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14:paraId="787BB1A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Values &amp; Ethics, Systems, Sustainability, and Socie</w:t>
            </w:r>
            <w:r>
              <w:rPr>
                <w:sz w:val="20"/>
                <w:szCs w:val="20"/>
              </w:rPr>
              <w:t xml:space="preserve">ty, or Culture and Creativity </w:t>
            </w:r>
          </w:p>
        </w:tc>
        <w:tc>
          <w:tcPr>
            <w:tcW w:w="830" w:type="dxa"/>
            <w:shd w:val="clear" w:color="auto" w:fill="FFFFFF"/>
          </w:tcPr>
          <w:p w14:paraId="3C5BAED5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44F06C2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673F58F0" w14:textId="77777777">
        <w:trPr>
          <w:trHeight w:val="268"/>
          <w:jc w:val="center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3D702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SS2 – Career Pathways Module 2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22EB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14:paraId="4BA47E3E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8BE785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8860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SS3 – Career Pathways Module 3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810C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</w:p>
          <w:p w14:paraId="31549B37" w14:textId="77777777" w:rsidR="00C00693" w:rsidRDefault="00D452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15D353B7" w14:textId="77777777" w:rsidR="00C00693" w:rsidRDefault="00C00693">
            <w:pPr>
              <w:rPr>
                <w:sz w:val="20"/>
                <w:szCs w:val="20"/>
              </w:rPr>
            </w:pPr>
          </w:p>
        </w:tc>
      </w:tr>
      <w:tr w:rsidR="00C00693" w14:paraId="6F38B80C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443D7A4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9B469F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5953370C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6873B846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A714B5E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7652B3E" w14:textId="77777777" w:rsidR="00C00693" w:rsidRDefault="00C00693">
            <w:pPr>
              <w:rPr>
                <w:sz w:val="20"/>
                <w:szCs w:val="20"/>
              </w:rPr>
            </w:pPr>
          </w:p>
        </w:tc>
      </w:tr>
    </w:tbl>
    <w:p w14:paraId="6DF98BFC" w14:textId="77777777" w:rsidR="00C00693" w:rsidRDefault="00C00693">
      <w:pPr>
        <w:rPr>
          <w:sz w:val="20"/>
          <w:szCs w:val="20"/>
        </w:rPr>
      </w:pPr>
    </w:p>
    <w:p w14:paraId="197C247B" w14:textId="77777777" w:rsidR="00C00693" w:rsidRDefault="00C00693">
      <w:pPr>
        <w:rPr>
          <w:sz w:val="20"/>
          <w:szCs w:val="20"/>
        </w:rPr>
      </w:pPr>
    </w:p>
    <w:p w14:paraId="4A9045BE" w14:textId="77777777" w:rsidR="00C00693" w:rsidRDefault="00C00693">
      <w:pPr>
        <w:rPr>
          <w:sz w:val="20"/>
          <w:szCs w:val="20"/>
        </w:rPr>
      </w:pPr>
    </w:p>
    <w:p w14:paraId="1BD079AB" w14:textId="77777777" w:rsidR="00C00693" w:rsidRDefault="00C00693">
      <w:pPr>
        <w:rPr>
          <w:sz w:val="20"/>
          <w:szCs w:val="20"/>
        </w:rPr>
      </w:pPr>
    </w:p>
    <w:p w14:paraId="27D86153" w14:textId="77777777" w:rsidR="00C00693" w:rsidRDefault="00C00693">
      <w:pPr>
        <w:rPr>
          <w:sz w:val="20"/>
          <w:szCs w:val="20"/>
        </w:rPr>
      </w:pPr>
    </w:p>
    <w:p w14:paraId="331A7C94" w14:textId="77777777" w:rsidR="00C00693" w:rsidRDefault="00C00693">
      <w:pPr>
        <w:rPr>
          <w:sz w:val="20"/>
          <w:szCs w:val="20"/>
        </w:rPr>
      </w:pPr>
    </w:p>
    <w:p w14:paraId="1A2A01ED" w14:textId="77777777" w:rsidR="00C00693" w:rsidRDefault="00C00693">
      <w:pPr>
        <w:rPr>
          <w:sz w:val="20"/>
          <w:szCs w:val="20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C00693" w14:paraId="7012C260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8989180" w14:textId="77777777" w:rsidR="00C00693" w:rsidRDefault="00D452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C00693" w14:paraId="5EDCD90D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1AB7C5C7" w14:textId="77777777" w:rsidR="00C00693" w:rsidRDefault="00D452D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72B2229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CCA4194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2642BDEF" w14:textId="77777777" w:rsidR="00C00693" w:rsidRDefault="00D452D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97D3457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4DE87E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00693" w14:paraId="3F3CFE21" w14:textId="77777777">
        <w:trPr>
          <w:trHeight w:val="284"/>
          <w:jc w:val="center"/>
        </w:trPr>
        <w:tc>
          <w:tcPr>
            <w:tcW w:w="4121" w:type="dxa"/>
          </w:tcPr>
          <w:p w14:paraId="597FB92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 </w:t>
            </w:r>
          </w:p>
          <w:p w14:paraId="13EF7141" w14:textId="77777777" w:rsidR="00C00693" w:rsidRDefault="00D452D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Values &amp; Ethics, Systems, Sustainability, and Society, or Culture and Creativity </w:t>
            </w:r>
            <w:r>
              <w:rPr>
                <w:b/>
                <w:sz w:val="20"/>
                <w:szCs w:val="20"/>
              </w:rPr>
              <w:t>(Must be outside of SSHS)</w:t>
            </w:r>
          </w:p>
        </w:tc>
        <w:tc>
          <w:tcPr>
            <w:tcW w:w="830" w:type="dxa"/>
          </w:tcPr>
          <w:p w14:paraId="63D87ACA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2EB8FB9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21F554BF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307 Social Work Research Methods</w:t>
            </w:r>
          </w:p>
          <w:p w14:paraId="5BC0E121" w14:textId="77777777" w:rsidR="00C00693" w:rsidRDefault="00C0069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189933F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65E28CB6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13FAEA26" w14:textId="77777777">
        <w:trPr>
          <w:trHeight w:val="284"/>
          <w:jc w:val="center"/>
        </w:trPr>
        <w:tc>
          <w:tcPr>
            <w:tcW w:w="4121" w:type="dxa"/>
          </w:tcPr>
          <w:p w14:paraId="21EE13ED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362 HBSE I</w:t>
            </w:r>
          </w:p>
        </w:tc>
        <w:tc>
          <w:tcPr>
            <w:tcW w:w="830" w:type="dxa"/>
          </w:tcPr>
          <w:p w14:paraId="457F4011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3DC9A544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BD5FA6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SWRK 363 HBSE II (HBSE I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 xml:space="preserve"> for this course)</w:t>
            </w:r>
          </w:p>
        </w:tc>
        <w:tc>
          <w:tcPr>
            <w:tcW w:w="830" w:type="dxa"/>
          </w:tcPr>
          <w:p w14:paraId="5AF4B71B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92177B9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3F3B76BC" w14:textId="77777777">
        <w:trPr>
          <w:trHeight w:val="284"/>
          <w:jc w:val="center"/>
        </w:trPr>
        <w:tc>
          <w:tcPr>
            <w:tcW w:w="4121" w:type="dxa"/>
          </w:tcPr>
          <w:p w14:paraId="1BF563B0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 329 Social Work with Agencies and Communities (100 hours of fieldwork) (Must be accepted into the major prior to taking this course)</w:t>
            </w:r>
          </w:p>
        </w:tc>
        <w:tc>
          <w:tcPr>
            <w:tcW w:w="830" w:type="dxa"/>
          </w:tcPr>
          <w:p w14:paraId="2FFE0D09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046F1A7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CB17645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3F1336C5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F28E73A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62630E9E" w14:textId="77777777">
        <w:trPr>
          <w:trHeight w:val="284"/>
          <w:jc w:val="center"/>
        </w:trPr>
        <w:tc>
          <w:tcPr>
            <w:tcW w:w="4121" w:type="dxa"/>
          </w:tcPr>
          <w:p w14:paraId="6746DBE4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246EB29D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5C70362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ED991F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7BC219AE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60601DC6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56FFD4B8" w14:textId="77777777">
        <w:trPr>
          <w:trHeight w:val="300"/>
          <w:jc w:val="center"/>
        </w:trPr>
        <w:tc>
          <w:tcPr>
            <w:tcW w:w="4121" w:type="dxa"/>
          </w:tcPr>
          <w:p w14:paraId="0D34AD80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38F0C2C5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076CCD0C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402F1CA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3002C792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75AF092C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907AE0" w14:textId="77777777" w:rsidR="00C00693" w:rsidRDefault="00C00693"/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C00693" w14:paraId="64677A68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4C6A9A8" w14:textId="77777777" w:rsidR="00C00693" w:rsidRDefault="00D452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C00693" w14:paraId="014A7440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70CFC297" w14:textId="77777777" w:rsidR="00C00693" w:rsidRDefault="00C00693"/>
        </w:tc>
        <w:tc>
          <w:tcPr>
            <w:tcW w:w="830" w:type="dxa"/>
            <w:shd w:val="clear" w:color="auto" w:fill="E6E6E6"/>
          </w:tcPr>
          <w:p w14:paraId="6D6920C0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51A565D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E702E4A" w14:textId="77777777" w:rsidR="00C00693" w:rsidRDefault="00D452D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AC9425" w14:textId="77777777" w:rsidR="00C00693" w:rsidRDefault="00D452D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7BBF8F3" w14:textId="77777777" w:rsidR="00C00693" w:rsidRDefault="00D452D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00693" w14:paraId="6ED62249" w14:textId="77777777">
        <w:trPr>
          <w:trHeight w:val="270"/>
          <w:jc w:val="center"/>
        </w:trPr>
        <w:tc>
          <w:tcPr>
            <w:tcW w:w="4121" w:type="dxa"/>
          </w:tcPr>
          <w:p w14:paraId="205A5E8B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25 Theory &amp; Practice I (200 hours in fieldwork) (Social Work with Agencies &amp; Communities is a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 xml:space="preserve"> for this course)</w:t>
            </w:r>
          </w:p>
        </w:tc>
        <w:tc>
          <w:tcPr>
            <w:tcW w:w="830" w:type="dxa"/>
          </w:tcPr>
          <w:p w14:paraId="45E9C32D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14:paraId="33F18208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5316459F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SWRK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26 Theory &amp; Practice II (200 hours in fieldwork) (Theory &amp; Practice I is a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 xml:space="preserve"> for this course)</w:t>
            </w:r>
          </w:p>
        </w:tc>
        <w:tc>
          <w:tcPr>
            <w:tcW w:w="830" w:type="dxa"/>
          </w:tcPr>
          <w:p w14:paraId="1879C100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</w:tcPr>
          <w:p w14:paraId="11EDE77B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5AEC057D" w14:textId="77777777">
        <w:trPr>
          <w:trHeight w:val="270"/>
          <w:jc w:val="center"/>
        </w:trPr>
        <w:tc>
          <w:tcPr>
            <w:tcW w:w="4121" w:type="dxa"/>
          </w:tcPr>
          <w:p w14:paraId="27EE4B19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7BC3CC3B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17EDE95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1B2DCA61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SWRK 420 Contemporary Social Policy (Theory &amp; Practice I is a co-</w:t>
            </w:r>
            <w:proofErr w:type="spellStart"/>
            <w:r>
              <w:rPr>
                <w:sz w:val="20"/>
                <w:szCs w:val="20"/>
              </w:rPr>
              <w:t>req</w:t>
            </w:r>
            <w:proofErr w:type="spellEnd"/>
            <w:r>
              <w:rPr>
                <w:sz w:val="20"/>
                <w:szCs w:val="20"/>
              </w:rPr>
              <w:t xml:space="preserve"> or </w:t>
            </w:r>
            <w:proofErr w:type="spellStart"/>
            <w:r>
              <w:rPr>
                <w:sz w:val="20"/>
                <w:szCs w:val="20"/>
              </w:rPr>
              <w:t>prereq</w:t>
            </w:r>
            <w:proofErr w:type="spellEnd"/>
            <w:r>
              <w:rPr>
                <w:sz w:val="20"/>
                <w:szCs w:val="20"/>
              </w:rPr>
              <w:t xml:space="preserve"> for this course)</w:t>
            </w:r>
          </w:p>
        </w:tc>
        <w:tc>
          <w:tcPr>
            <w:tcW w:w="830" w:type="dxa"/>
          </w:tcPr>
          <w:p w14:paraId="46B9B352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D212096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0C3722C6" w14:textId="77777777">
        <w:trPr>
          <w:trHeight w:val="285"/>
          <w:jc w:val="center"/>
        </w:trPr>
        <w:tc>
          <w:tcPr>
            <w:tcW w:w="4121" w:type="dxa"/>
          </w:tcPr>
          <w:p w14:paraId="2B9B74F0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Elective/Minor </w:t>
            </w:r>
          </w:p>
        </w:tc>
        <w:tc>
          <w:tcPr>
            <w:tcW w:w="830" w:type="dxa"/>
          </w:tcPr>
          <w:p w14:paraId="05E1DD94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4FE27B2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6545A297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14:paraId="3B7B6D46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91BD7EC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  <w:tr w:rsidR="00C00693" w14:paraId="36FCFBEE" w14:textId="77777777">
        <w:trPr>
          <w:trHeight w:val="270"/>
          <w:jc w:val="center"/>
        </w:trPr>
        <w:tc>
          <w:tcPr>
            <w:tcW w:w="4121" w:type="dxa"/>
          </w:tcPr>
          <w:p w14:paraId="3A3DB596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6C6C030C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06BDCF1C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3ABF2071" w14:textId="77777777" w:rsidR="00C00693" w:rsidRDefault="00D452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514C5C87" w14:textId="77777777" w:rsidR="00C00693" w:rsidRDefault="00D4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0" w:type="dxa"/>
          </w:tcPr>
          <w:p w14:paraId="798679D6" w14:textId="77777777" w:rsidR="00C00693" w:rsidRDefault="00C006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59B699" w14:textId="77777777" w:rsidR="00C00693" w:rsidRDefault="00D452D8"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 xml:space="preserve">GPA Required:  </w:t>
      </w:r>
      <w:r>
        <w:t>2.75</w:t>
      </w:r>
    </w:p>
    <w:p w14:paraId="66BEDCF4" w14:textId="77777777" w:rsidR="00C00693" w:rsidRDefault="00C00693">
      <w:pPr>
        <w:rPr>
          <w:rFonts w:ascii="Arial Narrow" w:eastAsia="Arial Narrow" w:hAnsi="Arial Narrow" w:cs="Arial Narrow"/>
          <w:sz w:val="18"/>
          <w:szCs w:val="18"/>
        </w:rPr>
      </w:pPr>
    </w:p>
    <w:p w14:paraId="432F6085" w14:textId="77777777" w:rsidR="00C00693" w:rsidRDefault="00C00693">
      <w:pPr>
        <w:rPr>
          <w:rFonts w:ascii="Arial Narrow" w:eastAsia="Arial Narrow" w:hAnsi="Arial Narrow" w:cs="Arial Narrow"/>
          <w:sz w:val="20"/>
          <w:szCs w:val="20"/>
        </w:rPr>
      </w:pPr>
    </w:p>
    <w:p w14:paraId="0B96AD07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Ideally, students should be fully admitted into the program </w:t>
      </w:r>
      <w:r>
        <w:rPr>
          <w:b/>
          <w:sz w:val="20"/>
          <w:szCs w:val="20"/>
          <w:u w:val="single"/>
        </w:rPr>
        <w:t>by the end of their second year at Ramapo.</w:t>
      </w:r>
      <w:r>
        <w:rPr>
          <w:sz w:val="20"/>
          <w:szCs w:val="20"/>
        </w:rPr>
        <w:t xml:space="preserve">  Transfer students should be admitted by preregistration date of their first semester on campus.  Students should be directed early to the Social Work program for admissions requirements.</w:t>
      </w:r>
    </w:p>
    <w:p w14:paraId="2E78AFCC" w14:textId="77777777" w:rsidR="00C00693" w:rsidRDefault="00C00693">
      <w:pPr>
        <w:rPr>
          <w:sz w:val="20"/>
          <w:szCs w:val="20"/>
        </w:rPr>
      </w:pPr>
    </w:p>
    <w:p w14:paraId="66FCFF2C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>
        <w:rPr>
          <w:sz w:val="20"/>
          <w:szCs w:val="20"/>
        </w:rPr>
        <w:t>Students must be fully admitted into Social Work program before</w:t>
      </w:r>
      <w:r>
        <w:rPr>
          <w:sz w:val="20"/>
          <w:szCs w:val="20"/>
        </w:rPr>
        <w:t xml:space="preserve"> registering for SWRK 329 Social Work with Communities and Agencies. </w:t>
      </w:r>
    </w:p>
    <w:p w14:paraId="12D62190" w14:textId="77777777" w:rsidR="00C00693" w:rsidRDefault="00C00693">
      <w:pPr>
        <w:rPr>
          <w:sz w:val="20"/>
          <w:szCs w:val="20"/>
        </w:rPr>
      </w:pPr>
    </w:p>
    <w:p w14:paraId="3BD25E57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 xml:space="preserve"> Students must take SWRK 329 before entering into the Theory &amp; Practice I &amp; II sequence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25 &amp; 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26).  </w:t>
      </w:r>
    </w:p>
    <w:p w14:paraId="1079FEF5" w14:textId="77777777" w:rsidR="00C00693" w:rsidRDefault="00C00693">
      <w:pPr>
        <w:rPr>
          <w:sz w:val="20"/>
          <w:szCs w:val="20"/>
        </w:rPr>
      </w:pPr>
    </w:p>
    <w:p w14:paraId="3336BE31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>
        <w:rPr>
          <w:sz w:val="20"/>
          <w:szCs w:val="20"/>
        </w:rPr>
        <w:t xml:space="preserve">Theory &amp; Practice 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25) is offered </w:t>
      </w:r>
      <w:r>
        <w:rPr>
          <w:sz w:val="20"/>
          <w:szCs w:val="20"/>
        </w:rPr>
        <w:t>F</w:t>
      </w:r>
      <w:r>
        <w:rPr>
          <w:sz w:val="20"/>
          <w:szCs w:val="20"/>
        </w:rPr>
        <w:t>all semester and Theory</w:t>
      </w:r>
      <w:r>
        <w:rPr>
          <w:sz w:val="20"/>
          <w:szCs w:val="20"/>
        </w:rPr>
        <w:t xml:space="preserve"> &amp; Practice II (SWRK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26) is only offered in the Spring semester.  These two courses must be taken consecutively over one academic year. </w:t>
      </w:r>
    </w:p>
    <w:p w14:paraId="562B38B0" w14:textId="77777777" w:rsidR="00C00693" w:rsidRDefault="00C00693">
      <w:pPr>
        <w:rPr>
          <w:sz w:val="20"/>
          <w:szCs w:val="20"/>
        </w:rPr>
      </w:pPr>
    </w:p>
    <w:p w14:paraId="532A9E70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sz w:val="20"/>
          <w:szCs w:val="20"/>
        </w:rPr>
        <w:t xml:space="preserve">Most MSW programs require students take a course in Social Work Practice with Groups.  We recommend students take </w:t>
      </w:r>
      <w:r>
        <w:rPr>
          <w:sz w:val="20"/>
          <w:szCs w:val="20"/>
        </w:rPr>
        <w:t xml:space="preserve">this as an elective in the BSW program if they plan to attend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MSW program.  </w:t>
      </w:r>
    </w:p>
    <w:p w14:paraId="250D1B1C" w14:textId="77777777" w:rsidR="00C00693" w:rsidRDefault="00C00693">
      <w:pPr>
        <w:rPr>
          <w:sz w:val="20"/>
          <w:szCs w:val="20"/>
        </w:rPr>
      </w:pPr>
    </w:p>
    <w:p w14:paraId="02D5D4A5" w14:textId="77777777" w:rsidR="00C00693" w:rsidRDefault="00D452D8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04B7EC1" w14:textId="77777777" w:rsidR="00C00693" w:rsidRDefault="00C00693">
      <w:pPr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4B4A9086" w14:textId="77777777" w:rsidR="00C00693" w:rsidRDefault="00C00693">
      <w:pPr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0697506E" w14:textId="77777777" w:rsidR="00C00693" w:rsidRDefault="00C00693">
      <w:pPr>
        <w:shd w:val="clear" w:color="auto" w:fill="FFFFFF"/>
        <w:jc w:val="center"/>
        <w:rPr>
          <w:rFonts w:ascii="Arial" w:eastAsia="Arial" w:hAnsi="Arial" w:cs="Arial"/>
          <w:color w:val="222222"/>
          <w:sz w:val="22"/>
          <w:szCs w:val="22"/>
          <w:u w:val="single"/>
        </w:rPr>
      </w:pPr>
    </w:p>
    <w:p w14:paraId="75F54714" w14:textId="77777777" w:rsidR="00C00693" w:rsidRDefault="00C00693">
      <w:pPr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</w:p>
    <w:sectPr w:rsidR="00C00693">
      <w:footerReference w:type="default" r:id="rId7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3D185" w14:textId="77777777" w:rsidR="00D452D8" w:rsidRDefault="00D452D8">
      <w:r>
        <w:separator/>
      </w:r>
    </w:p>
  </w:endnote>
  <w:endnote w:type="continuationSeparator" w:id="0">
    <w:p w14:paraId="04D8F5CA" w14:textId="77777777" w:rsidR="00D452D8" w:rsidRDefault="00D4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4E90" w14:textId="77777777" w:rsidR="00C00693" w:rsidRDefault="00C00693">
    <w:pPr>
      <w:rPr>
        <w:sz w:val="16"/>
        <w:szCs w:val="16"/>
      </w:rPr>
    </w:pPr>
  </w:p>
  <w:p w14:paraId="79EABF94" w14:textId="77777777" w:rsidR="00C00693" w:rsidRDefault="00C006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E95A" w14:textId="77777777" w:rsidR="00D452D8" w:rsidRDefault="00D452D8">
      <w:r>
        <w:separator/>
      </w:r>
    </w:p>
  </w:footnote>
  <w:footnote w:type="continuationSeparator" w:id="0">
    <w:p w14:paraId="6AE1EB29" w14:textId="77777777" w:rsidR="00D452D8" w:rsidRDefault="00D4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93"/>
    <w:rsid w:val="006F1502"/>
    <w:rsid w:val="00C00693"/>
    <w:rsid w:val="00D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D3BEC"/>
  <w15:docId w15:val="{8AC4BE23-A15D-C347-99A9-4133795E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2023-05-01T19:41:00Z</dcterms:created>
  <dcterms:modified xsi:type="dcterms:W3CDTF">2023-05-01T19:41:00Z</dcterms:modified>
</cp:coreProperties>
</file>