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41" w:rsidRDefault="00083E41" w:rsidP="00083E41">
      <w:pPr>
        <w:rPr>
          <w:rFonts w:asciiTheme="minorHAnsi" w:hAnsiTheme="minorHAnsi"/>
        </w:rPr>
      </w:pPr>
      <w:bookmarkStart w:id="0" w:name="_GoBack"/>
      <w:bookmarkEnd w:id="0"/>
    </w:p>
    <w:p w:rsidR="0002662A" w:rsidRDefault="002B340D" w:rsidP="00083E41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083E41" w:rsidRPr="00083E41">
        <w:rPr>
          <w:rFonts w:asciiTheme="minorHAnsi" w:hAnsiTheme="minorHAnsi"/>
        </w:rPr>
        <w:t>he ASB faculty developed the Business Writing Across</w:t>
      </w:r>
      <w:r w:rsidR="00AD75D8">
        <w:rPr>
          <w:rFonts w:asciiTheme="minorHAnsi" w:hAnsiTheme="minorHAnsi"/>
        </w:rPr>
        <w:t xml:space="preserve"> the Core (BWAC) Program, which </w:t>
      </w:r>
      <w:r w:rsidR="00083E41" w:rsidRPr="00083E41">
        <w:rPr>
          <w:rFonts w:asciiTheme="minorHAnsi" w:hAnsiTheme="minorHAnsi"/>
        </w:rPr>
        <w:t xml:space="preserve">teaches </w:t>
      </w:r>
      <w:r w:rsidR="00083E41">
        <w:rPr>
          <w:rFonts w:asciiTheme="minorHAnsi" w:hAnsiTheme="minorHAnsi"/>
        </w:rPr>
        <w:t xml:space="preserve">all business majors </w:t>
      </w:r>
      <w:r w:rsidR="00083E41" w:rsidRPr="00083E41">
        <w:rPr>
          <w:rFonts w:asciiTheme="minorHAnsi" w:hAnsiTheme="minorHAnsi"/>
        </w:rPr>
        <w:t>how to write five key business documents: b</w:t>
      </w:r>
      <w:r w:rsidR="00083E41">
        <w:rPr>
          <w:rFonts w:asciiTheme="minorHAnsi" w:hAnsiTheme="minorHAnsi"/>
        </w:rPr>
        <w:t xml:space="preserve">usiness letter, typically to an </w:t>
      </w:r>
      <w:r w:rsidR="00083E41" w:rsidRPr="00083E41">
        <w:rPr>
          <w:rFonts w:asciiTheme="minorHAnsi" w:hAnsiTheme="minorHAnsi"/>
        </w:rPr>
        <w:t>external audience; memo, typically to an internal audience; e</w:t>
      </w:r>
      <w:r w:rsidR="00083E41">
        <w:rPr>
          <w:rFonts w:asciiTheme="minorHAnsi" w:hAnsiTheme="minorHAnsi"/>
        </w:rPr>
        <w:t xml:space="preserve">xecutive summary; proposal; and </w:t>
      </w:r>
      <w:r w:rsidR="00083E41" w:rsidRPr="00083E41">
        <w:rPr>
          <w:rFonts w:asciiTheme="minorHAnsi" w:hAnsiTheme="minorHAnsi"/>
        </w:rPr>
        <w:t>business case.</w:t>
      </w:r>
      <w:r w:rsidR="0023135C">
        <w:rPr>
          <w:rFonts w:asciiTheme="minorHAnsi" w:hAnsiTheme="minorHAnsi"/>
        </w:rPr>
        <w:t xml:space="preserve">  </w:t>
      </w:r>
      <w:r w:rsidR="00E771DD">
        <w:rPr>
          <w:rFonts w:asciiTheme="minorHAnsi" w:hAnsiTheme="minorHAnsi"/>
        </w:rPr>
        <w:t xml:space="preserve">The objective:  for students to develop expertise in writing the </w:t>
      </w:r>
      <w:r w:rsidR="003A22F2">
        <w:rPr>
          <w:rFonts w:asciiTheme="minorHAnsi" w:hAnsiTheme="minorHAnsi"/>
        </w:rPr>
        <w:t xml:space="preserve">specific </w:t>
      </w:r>
      <w:r w:rsidR="00E771DD">
        <w:rPr>
          <w:rFonts w:asciiTheme="minorHAnsi" w:hAnsiTheme="minorHAnsi"/>
        </w:rPr>
        <w:t xml:space="preserve">types of documents that </w:t>
      </w:r>
      <w:r w:rsidR="003A22F2">
        <w:rPr>
          <w:rFonts w:asciiTheme="minorHAnsi" w:hAnsiTheme="minorHAnsi"/>
        </w:rPr>
        <w:t>they will most likely be using</w:t>
      </w:r>
      <w:r w:rsidR="00E771DD">
        <w:rPr>
          <w:rFonts w:asciiTheme="minorHAnsi" w:hAnsiTheme="minorHAnsi"/>
        </w:rPr>
        <w:t xml:space="preserve"> in their careers.  </w:t>
      </w:r>
      <w:r w:rsidR="0023135C">
        <w:rPr>
          <w:rFonts w:asciiTheme="minorHAnsi" w:hAnsiTheme="minorHAnsi"/>
        </w:rPr>
        <w:t xml:space="preserve">The learning experience for each document is delivered in </w:t>
      </w:r>
      <w:r w:rsidR="0023135C" w:rsidRPr="00D07A63">
        <w:rPr>
          <w:rFonts w:asciiTheme="minorHAnsi" w:hAnsiTheme="minorHAnsi"/>
        </w:rPr>
        <w:t>two</w:t>
      </w:r>
      <w:r w:rsidR="0023135C">
        <w:rPr>
          <w:rFonts w:asciiTheme="minorHAnsi" w:hAnsiTheme="minorHAnsi"/>
        </w:rPr>
        <w:t xml:space="preserve"> required ASB core courses</w:t>
      </w:r>
      <w:proofErr w:type="gramStart"/>
      <w:r w:rsidR="0023135C">
        <w:rPr>
          <w:rFonts w:asciiTheme="minorHAnsi" w:hAnsiTheme="minorHAnsi"/>
        </w:rPr>
        <w:t>;</w:t>
      </w:r>
      <w:proofErr w:type="gramEnd"/>
      <w:r w:rsidR="0023135C">
        <w:rPr>
          <w:rFonts w:asciiTheme="minorHAnsi" w:hAnsiTheme="minorHAnsi"/>
        </w:rPr>
        <w:t xml:space="preserve"> one at the introductory level, and one at a more advanced level</w:t>
      </w:r>
      <w:r w:rsidR="00C340B0">
        <w:rPr>
          <w:rFonts w:asciiTheme="minorHAnsi" w:hAnsiTheme="minorHAnsi"/>
        </w:rPr>
        <w:t xml:space="preserve"> (see table below)</w:t>
      </w:r>
      <w:r w:rsidR="0023135C">
        <w:rPr>
          <w:rFonts w:asciiTheme="minorHAnsi" w:hAnsiTheme="minorHAnsi"/>
        </w:rPr>
        <w:t>.</w:t>
      </w:r>
      <w:r w:rsidR="00E771DD">
        <w:rPr>
          <w:rFonts w:asciiTheme="minorHAnsi" w:hAnsiTheme="minorHAnsi"/>
        </w:rPr>
        <w:t xml:space="preserve">  </w:t>
      </w:r>
    </w:p>
    <w:p w:rsidR="002B340D" w:rsidRDefault="002B340D" w:rsidP="00083E41">
      <w:pPr>
        <w:rPr>
          <w:rFonts w:asciiTheme="minorHAnsi" w:hAnsiTheme="minorHAnsi"/>
        </w:rPr>
      </w:pPr>
    </w:p>
    <w:p w:rsidR="002B340D" w:rsidRPr="002B340D" w:rsidRDefault="002B340D" w:rsidP="002B340D">
      <w:pPr>
        <w:rPr>
          <w:rFonts w:asciiTheme="minorHAnsi" w:hAnsiTheme="minorHAnsi"/>
        </w:rPr>
      </w:pPr>
      <w:r w:rsidRPr="002B340D">
        <w:rPr>
          <w:rFonts w:asciiTheme="minorHAnsi" w:hAnsiTheme="minorHAnsi"/>
        </w:rPr>
        <w:t xml:space="preserve">The program was piloted in 2009 and the </w:t>
      </w:r>
      <w:proofErr w:type="gramStart"/>
      <w:r w:rsidRPr="002B340D">
        <w:rPr>
          <w:rFonts w:asciiTheme="minorHAnsi" w:hAnsiTheme="minorHAnsi"/>
        </w:rPr>
        <w:t xml:space="preserve">faculty </w:t>
      </w:r>
      <w:r w:rsidR="00E771DD">
        <w:rPr>
          <w:rFonts w:asciiTheme="minorHAnsi" w:hAnsiTheme="minorHAnsi"/>
        </w:rPr>
        <w:t>have</w:t>
      </w:r>
      <w:proofErr w:type="gramEnd"/>
      <w:r w:rsidR="00E771DD">
        <w:rPr>
          <w:rFonts w:asciiTheme="minorHAnsi" w:hAnsiTheme="minorHAnsi"/>
        </w:rPr>
        <w:t xml:space="preserve"> worked since then to </w:t>
      </w:r>
      <w:r w:rsidRPr="002B340D">
        <w:rPr>
          <w:rFonts w:asciiTheme="minorHAnsi" w:hAnsiTheme="minorHAnsi"/>
        </w:rPr>
        <w:t xml:space="preserve">coordinate and revise teaching methods and course curricula to ensure effective delivery of </w:t>
      </w:r>
      <w:r w:rsidR="00E771DD">
        <w:rPr>
          <w:rFonts w:asciiTheme="minorHAnsi" w:hAnsiTheme="minorHAnsi"/>
        </w:rPr>
        <w:t xml:space="preserve">our </w:t>
      </w:r>
      <w:r w:rsidRPr="002B340D">
        <w:rPr>
          <w:rFonts w:asciiTheme="minorHAnsi" w:hAnsiTheme="minorHAnsi"/>
        </w:rPr>
        <w:t xml:space="preserve">Written Communication learning goal. </w:t>
      </w:r>
      <w:r w:rsidR="0023135C">
        <w:rPr>
          <w:rFonts w:asciiTheme="minorHAnsi" w:hAnsiTheme="minorHAnsi"/>
        </w:rPr>
        <w:t xml:space="preserve"> </w:t>
      </w:r>
      <w:r w:rsidRPr="002B340D">
        <w:rPr>
          <w:rFonts w:asciiTheme="minorHAnsi" w:hAnsiTheme="minorHAnsi"/>
        </w:rPr>
        <w:t xml:space="preserve">Additional writing support services </w:t>
      </w:r>
      <w:r w:rsidR="00E771DD">
        <w:rPr>
          <w:rFonts w:asciiTheme="minorHAnsi" w:hAnsiTheme="minorHAnsi"/>
        </w:rPr>
        <w:t>are</w:t>
      </w:r>
      <w:r w:rsidRPr="002B340D">
        <w:rPr>
          <w:rFonts w:asciiTheme="minorHAnsi" w:hAnsiTheme="minorHAnsi"/>
        </w:rPr>
        <w:t xml:space="preserve"> provided</w:t>
      </w:r>
    </w:p>
    <w:p w:rsidR="00083E41" w:rsidRDefault="002B340D" w:rsidP="00E771DD">
      <w:pPr>
        <w:rPr>
          <w:rFonts w:asciiTheme="minorHAnsi" w:hAnsiTheme="minorHAnsi"/>
        </w:rPr>
      </w:pPr>
      <w:proofErr w:type="gramStart"/>
      <w:r w:rsidRPr="002B340D">
        <w:rPr>
          <w:rFonts w:asciiTheme="minorHAnsi" w:hAnsiTheme="minorHAnsi"/>
        </w:rPr>
        <w:t>outside</w:t>
      </w:r>
      <w:proofErr w:type="gramEnd"/>
      <w:r w:rsidRPr="002B340D">
        <w:rPr>
          <w:rFonts w:asciiTheme="minorHAnsi" w:hAnsiTheme="minorHAnsi"/>
        </w:rPr>
        <w:t xml:space="preserve"> the classroom through the College’s Center for Reading and Writing. </w:t>
      </w:r>
      <w:r w:rsidR="0023135C">
        <w:rPr>
          <w:rFonts w:asciiTheme="minorHAnsi" w:hAnsiTheme="minorHAnsi"/>
        </w:rPr>
        <w:t xml:space="preserve"> </w:t>
      </w:r>
      <w:r w:rsidR="00E771DD">
        <w:rPr>
          <w:rFonts w:asciiTheme="minorHAnsi" w:hAnsiTheme="minorHAnsi"/>
        </w:rPr>
        <w:t xml:space="preserve"> </w:t>
      </w:r>
    </w:p>
    <w:p w:rsidR="00083E41" w:rsidRPr="00083E41" w:rsidRDefault="00083E41" w:rsidP="00083E41">
      <w:pPr>
        <w:rPr>
          <w:rFonts w:asciiTheme="minorHAnsi" w:hAnsiTheme="minorHAnsi"/>
        </w:rPr>
      </w:pPr>
    </w:p>
    <w:p w:rsidR="00083E41" w:rsidRDefault="00083E41" w:rsidP="0002662A">
      <w:pPr>
        <w:jc w:val="center"/>
        <w:rPr>
          <w:rFonts w:asciiTheme="minorHAnsi" w:hAnsiTheme="minorHAnsi"/>
          <w:b/>
        </w:rPr>
      </w:pPr>
    </w:p>
    <w:p w:rsidR="00083E41" w:rsidRDefault="00083E41" w:rsidP="0002662A">
      <w:pPr>
        <w:jc w:val="center"/>
        <w:rPr>
          <w:rFonts w:asciiTheme="minorHAnsi" w:hAnsiTheme="minorHAnsi"/>
          <w:b/>
        </w:rPr>
      </w:pPr>
    </w:p>
    <w:tbl>
      <w:tblPr>
        <w:tblpPr w:leftFromText="180" w:rightFromText="180" w:vertAnchor="text" w:horzAnchor="margin" w:tblpXSpec="center" w:tblpY="7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2068"/>
        <w:gridCol w:w="1890"/>
        <w:gridCol w:w="1889"/>
        <w:gridCol w:w="1469"/>
        <w:gridCol w:w="1864"/>
      </w:tblGrid>
      <w:tr w:rsidR="0023135C" w:rsidRPr="0002662A" w:rsidTr="002B340D">
        <w:trPr>
          <w:trHeight w:val="700"/>
        </w:trPr>
        <w:tc>
          <w:tcPr>
            <w:tcW w:w="1615" w:type="dxa"/>
          </w:tcPr>
          <w:p w:rsidR="002B340D" w:rsidRPr="0002662A" w:rsidRDefault="002B340D" w:rsidP="0023135C">
            <w:pPr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2068" w:type="dxa"/>
          </w:tcPr>
          <w:p w:rsidR="002B340D" w:rsidRPr="0002662A" w:rsidRDefault="002B340D" w:rsidP="002B340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b/>
                <w:iCs/>
                <w:sz w:val="22"/>
                <w:szCs w:val="22"/>
              </w:rPr>
              <w:t>LETTER</w:t>
            </w:r>
          </w:p>
        </w:tc>
        <w:tc>
          <w:tcPr>
            <w:tcW w:w="1890" w:type="dxa"/>
          </w:tcPr>
          <w:p w:rsidR="002B340D" w:rsidRPr="0002662A" w:rsidRDefault="002B340D" w:rsidP="002B340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b/>
                <w:iCs/>
                <w:sz w:val="22"/>
                <w:szCs w:val="22"/>
              </w:rPr>
              <w:t>MEMO</w:t>
            </w:r>
          </w:p>
        </w:tc>
        <w:tc>
          <w:tcPr>
            <w:tcW w:w="1889" w:type="dxa"/>
          </w:tcPr>
          <w:p w:rsidR="002B340D" w:rsidRPr="0002662A" w:rsidRDefault="002B340D" w:rsidP="002B340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b/>
                <w:iCs/>
                <w:sz w:val="22"/>
                <w:szCs w:val="22"/>
              </w:rPr>
              <w:t>EXECUTIVE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b/>
                <w:iCs/>
                <w:sz w:val="22"/>
                <w:szCs w:val="22"/>
              </w:rPr>
              <w:t>SUMMARY</w:t>
            </w:r>
          </w:p>
        </w:tc>
        <w:tc>
          <w:tcPr>
            <w:tcW w:w="1469" w:type="dxa"/>
          </w:tcPr>
          <w:p w:rsidR="002B340D" w:rsidRPr="0002662A" w:rsidRDefault="002B340D" w:rsidP="002B340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b/>
                <w:iCs/>
                <w:sz w:val="22"/>
                <w:szCs w:val="22"/>
              </w:rPr>
              <w:t>PROPOSAL</w:t>
            </w:r>
          </w:p>
        </w:tc>
        <w:tc>
          <w:tcPr>
            <w:tcW w:w="1864" w:type="dxa"/>
          </w:tcPr>
          <w:p w:rsidR="002B340D" w:rsidRPr="0002662A" w:rsidRDefault="002B340D" w:rsidP="002B340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b/>
                <w:iCs/>
                <w:sz w:val="22"/>
                <w:szCs w:val="22"/>
              </w:rPr>
              <w:t>BUSINESS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b/>
                <w:iCs/>
                <w:sz w:val="22"/>
                <w:szCs w:val="22"/>
              </w:rPr>
              <w:t>CASE</w:t>
            </w:r>
          </w:p>
        </w:tc>
      </w:tr>
      <w:tr w:rsidR="0023135C" w:rsidRPr="0002662A" w:rsidTr="002B340D">
        <w:trPr>
          <w:trHeight w:val="700"/>
        </w:trPr>
        <w:tc>
          <w:tcPr>
            <w:tcW w:w="1615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Conceptual Distinction</w:t>
            </w:r>
          </w:p>
        </w:tc>
        <w:tc>
          <w:tcPr>
            <w:tcW w:w="2068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External document conveying information to unfamiliar audience</w:t>
            </w:r>
          </w:p>
        </w:tc>
        <w:tc>
          <w:tcPr>
            <w:tcW w:w="1890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 xml:space="preserve">Internal document providing information, or requesting information </w:t>
            </w:r>
          </w:p>
        </w:tc>
        <w:tc>
          <w:tcPr>
            <w:tcW w:w="1889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Summary of a larger document or project which may contain technical information</w:t>
            </w:r>
          </w:p>
        </w:tc>
        <w:tc>
          <w:tcPr>
            <w:tcW w:w="1469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Persuasive document to outside audience</w:t>
            </w:r>
          </w:p>
        </w:tc>
        <w:tc>
          <w:tcPr>
            <w:tcW w:w="1864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Extensive analysis of a business issue, which provides a recommendation</w:t>
            </w:r>
          </w:p>
        </w:tc>
      </w:tr>
      <w:tr w:rsidR="0023135C" w:rsidRPr="0002662A" w:rsidTr="002B340D">
        <w:trPr>
          <w:trHeight w:val="1175"/>
        </w:trPr>
        <w:tc>
          <w:tcPr>
            <w:tcW w:w="1615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Introductory class</w:t>
            </w:r>
          </w:p>
        </w:tc>
        <w:tc>
          <w:tcPr>
            <w:tcW w:w="2068" w:type="dxa"/>
          </w:tcPr>
          <w:p w:rsidR="002B340D" w:rsidRPr="0002662A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BADM 223:  </w:t>
            </w:r>
            <w:r w:rsidR="002B340D" w:rsidRPr="0002662A">
              <w:rPr>
                <w:rFonts w:asciiTheme="minorHAnsi" w:hAnsiTheme="minorHAnsi"/>
                <w:iCs/>
                <w:sz w:val="22"/>
                <w:szCs w:val="22"/>
              </w:rPr>
              <w:t>Business Law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890" w:type="dxa"/>
          </w:tcPr>
          <w:p w:rsidR="0023135C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ECON 101: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Microeconomics</w:t>
            </w:r>
          </w:p>
        </w:tc>
        <w:tc>
          <w:tcPr>
            <w:tcW w:w="1889" w:type="dxa"/>
          </w:tcPr>
          <w:p w:rsidR="0023135C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ACCT 222: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Managerial Accounting</w:t>
            </w:r>
          </w:p>
        </w:tc>
        <w:tc>
          <w:tcPr>
            <w:tcW w:w="1469" w:type="dxa"/>
          </w:tcPr>
          <w:p w:rsidR="0023135C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INFO 224: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Principles of Information Technology</w:t>
            </w:r>
          </w:p>
        </w:tc>
        <w:tc>
          <w:tcPr>
            <w:tcW w:w="1864" w:type="dxa"/>
          </w:tcPr>
          <w:p w:rsidR="0023135C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MKTG 290: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Marketing Principles and Practices</w:t>
            </w:r>
          </w:p>
        </w:tc>
      </w:tr>
      <w:tr w:rsidR="0023135C" w:rsidRPr="0002662A" w:rsidTr="002B340D">
        <w:trPr>
          <w:trHeight w:val="1220"/>
        </w:trPr>
        <w:tc>
          <w:tcPr>
            <w:tcW w:w="1615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Advanced class</w:t>
            </w:r>
          </w:p>
        </w:tc>
        <w:tc>
          <w:tcPr>
            <w:tcW w:w="2068" w:type="dxa"/>
          </w:tcPr>
          <w:p w:rsidR="0023135C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BADM 301:</w:t>
            </w:r>
          </w:p>
          <w:p w:rsidR="0023135C" w:rsidRDefault="002B340D" w:rsidP="0023135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 xml:space="preserve">Ethics in Business </w:t>
            </w:r>
            <w:r w:rsidR="0023135C">
              <w:rPr>
                <w:rFonts w:asciiTheme="minorHAnsi" w:hAnsiTheme="minorHAnsi"/>
                <w:iCs/>
                <w:sz w:val="22"/>
                <w:szCs w:val="22"/>
              </w:rPr>
              <w:t>or</w:t>
            </w: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="0023135C">
              <w:rPr>
                <w:rFonts w:asciiTheme="minorHAnsi" w:hAnsiTheme="minorHAnsi"/>
                <w:iCs/>
                <w:sz w:val="22"/>
                <w:szCs w:val="22"/>
              </w:rPr>
              <w:t>INFO 315:</w:t>
            </w:r>
          </w:p>
          <w:p w:rsidR="002B340D" w:rsidRPr="0002662A" w:rsidRDefault="002B340D" w:rsidP="0023135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Computer Law and Ethics</w:t>
            </w:r>
          </w:p>
        </w:tc>
        <w:tc>
          <w:tcPr>
            <w:tcW w:w="1890" w:type="dxa"/>
          </w:tcPr>
          <w:p w:rsidR="0023135C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FINC 301: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Corporate Finance</w:t>
            </w:r>
          </w:p>
        </w:tc>
        <w:tc>
          <w:tcPr>
            <w:tcW w:w="1889" w:type="dxa"/>
          </w:tcPr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International Business Category</w:t>
            </w:r>
            <w:r w:rsidR="0023135C">
              <w:rPr>
                <w:rFonts w:asciiTheme="minorHAnsi" w:hAnsiTheme="minorHAnsi"/>
                <w:iCs/>
                <w:sz w:val="22"/>
                <w:szCs w:val="22"/>
              </w:rPr>
              <w:t xml:space="preserve"> course</w:t>
            </w:r>
          </w:p>
        </w:tc>
        <w:tc>
          <w:tcPr>
            <w:tcW w:w="1469" w:type="dxa"/>
          </w:tcPr>
          <w:p w:rsidR="0023135C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MGMT 370: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Operations Management</w:t>
            </w:r>
          </w:p>
        </w:tc>
        <w:tc>
          <w:tcPr>
            <w:tcW w:w="1864" w:type="dxa"/>
          </w:tcPr>
          <w:p w:rsidR="0023135C" w:rsidRDefault="0023135C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MGMT302:</w:t>
            </w:r>
          </w:p>
          <w:p w:rsidR="002B340D" w:rsidRPr="0002662A" w:rsidRDefault="002B340D" w:rsidP="002B34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02662A">
              <w:rPr>
                <w:rFonts w:asciiTheme="minorHAnsi" w:hAnsiTheme="minorHAnsi"/>
                <w:iCs/>
                <w:sz w:val="22"/>
                <w:szCs w:val="22"/>
              </w:rPr>
              <w:t>Managing Organizational Behavior</w:t>
            </w:r>
          </w:p>
        </w:tc>
      </w:tr>
    </w:tbl>
    <w:p w:rsidR="0002662A" w:rsidRPr="0002662A" w:rsidRDefault="0002662A" w:rsidP="0002662A"/>
    <w:p w:rsidR="0002662A" w:rsidRPr="0002662A" w:rsidRDefault="0002662A" w:rsidP="0002662A"/>
    <w:p w:rsidR="0002662A" w:rsidRPr="0002662A" w:rsidRDefault="0002662A" w:rsidP="0002662A"/>
    <w:p w:rsidR="0002662A" w:rsidRPr="0002662A" w:rsidRDefault="0002662A" w:rsidP="0002662A"/>
    <w:p w:rsidR="0002662A" w:rsidRPr="0002662A" w:rsidRDefault="0002662A" w:rsidP="0002662A"/>
    <w:p w:rsidR="0002662A" w:rsidRPr="0002662A" w:rsidRDefault="0002662A" w:rsidP="0002662A"/>
    <w:p w:rsidR="00833052" w:rsidRPr="0002662A" w:rsidRDefault="00833052" w:rsidP="0002662A"/>
    <w:sectPr w:rsidR="00833052" w:rsidRPr="000266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2A" w:rsidRDefault="0002662A" w:rsidP="0002662A">
      <w:r>
        <w:separator/>
      </w:r>
    </w:p>
  </w:endnote>
  <w:endnote w:type="continuationSeparator" w:id="0">
    <w:p w:rsidR="0002662A" w:rsidRDefault="0002662A" w:rsidP="0002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2A" w:rsidRPr="0002662A" w:rsidRDefault="00083E41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January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2A" w:rsidRDefault="0002662A" w:rsidP="0002662A">
      <w:r>
        <w:separator/>
      </w:r>
    </w:p>
  </w:footnote>
  <w:footnote w:type="continuationSeparator" w:id="0">
    <w:p w:rsidR="0002662A" w:rsidRDefault="0002662A" w:rsidP="000266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2A" w:rsidRPr="0002662A" w:rsidRDefault="0002662A" w:rsidP="00126B51">
    <w:pPr>
      <w:pStyle w:val="Header"/>
      <w:jc w:val="center"/>
      <w:rPr>
        <w:rFonts w:asciiTheme="minorHAnsi" w:hAnsiTheme="minorHAnsi"/>
        <w:b/>
      </w:rPr>
    </w:pPr>
    <w:r w:rsidRPr="0002662A">
      <w:rPr>
        <w:rFonts w:asciiTheme="minorHAnsi" w:hAnsiTheme="minorHAnsi"/>
        <w:b/>
      </w:rPr>
      <w:t>Anisfield School of Business: Business Writing Across the Core (BWAC)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2A"/>
    <w:rsid w:val="0002662A"/>
    <w:rsid w:val="00083E41"/>
    <w:rsid w:val="00126B51"/>
    <w:rsid w:val="0023135C"/>
    <w:rsid w:val="002B340D"/>
    <w:rsid w:val="003A22F2"/>
    <w:rsid w:val="005E297B"/>
    <w:rsid w:val="00833052"/>
    <w:rsid w:val="00A01A55"/>
    <w:rsid w:val="00AD75D8"/>
    <w:rsid w:val="00C340B0"/>
    <w:rsid w:val="00D07A63"/>
    <w:rsid w:val="00E771DD"/>
    <w:rsid w:val="00E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662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62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6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0B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662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62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6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0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Knorton@winads.ramapo.edu</dc:creator>
  <cp:keywords/>
  <dc:description/>
  <cp:lastModifiedBy>Edward A. Shannon</cp:lastModifiedBy>
  <cp:revision>2</cp:revision>
  <cp:lastPrinted>2019-01-18T14:01:00Z</cp:lastPrinted>
  <dcterms:created xsi:type="dcterms:W3CDTF">2019-02-07T16:05:00Z</dcterms:created>
  <dcterms:modified xsi:type="dcterms:W3CDTF">2019-02-07T16:05:00Z</dcterms:modified>
</cp:coreProperties>
</file>