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A3F" w:rsidRPr="00C55A3F" w:rsidRDefault="00C55A3F" w:rsidP="00C55A3F">
      <w:pPr>
        <w:pBdr>
          <w:bottom w:val="single" w:sz="6" w:space="5" w:color="000000"/>
        </w:pBd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bdr w:val="none" w:sz="0" w:space="0" w:color="auto" w:frame="1"/>
        </w:rPr>
      </w:pPr>
      <w:r w:rsidRPr="00C55A3F">
        <w:rPr>
          <w:rFonts w:ascii="Times New Roman" w:eastAsia="Times New Roman" w:hAnsi="Times New Roman" w:cs="Times New Roman"/>
          <w:b/>
          <w:bCs/>
          <w:color w:val="2F2F2F"/>
          <w:bdr w:val="none" w:sz="0" w:space="0" w:color="auto" w:frame="1"/>
        </w:rPr>
        <w:t>French Minor Curriculum Map</w:t>
      </w:r>
    </w:p>
    <w:p w:rsidR="00C55A3F" w:rsidRPr="00C55A3F" w:rsidRDefault="00C55A3F" w:rsidP="00C55A3F">
      <w:pPr>
        <w:pBdr>
          <w:bottom w:val="single" w:sz="6" w:space="5" w:color="000000"/>
        </w:pBd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bdr w:val="none" w:sz="0" w:space="0" w:color="auto" w:frame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Courses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Outcome 1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Outcome 2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FREN 201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FREN 202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FREN 301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FREN 305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FREN 309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INTL 315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FREN 401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FREN 403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  <w:tr w:rsidR="00862146" w:rsidRPr="00C55A3F" w:rsidTr="00862146">
        <w:tc>
          <w:tcPr>
            <w:tcW w:w="3116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FREN 409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17" w:type="dxa"/>
          </w:tcPr>
          <w:p w:rsidR="00862146" w:rsidRPr="00C55A3F" w:rsidRDefault="00862146">
            <w:pPr>
              <w:rPr>
                <w:rFonts w:ascii="Times New Roman" w:hAnsi="Times New Roman" w:cs="Times New Roman"/>
              </w:rPr>
            </w:pPr>
            <w:r w:rsidRPr="00C55A3F">
              <w:rPr>
                <w:rFonts w:ascii="Times New Roman" w:hAnsi="Times New Roman" w:cs="Times New Roman"/>
              </w:rPr>
              <w:t>X</w:t>
            </w:r>
          </w:p>
        </w:tc>
      </w:tr>
    </w:tbl>
    <w:p w:rsidR="00862146" w:rsidRDefault="00862146">
      <w:pPr>
        <w:rPr>
          <w:rFonts w:ascii="Times New Roman" w:hAnsi="Times New Roman" w:cs="Times New Roman"/>
        </w:rPr>
      </w:pPr>
    </w:p>
    <w:p w:rsidR="00B01E7B" w:rsidRDefault="00B01E7B" w:rsidP="00B01E7B">
      <w:pPr>
        <w:pBdr>
          <w:bottom w:val="single" w:sz="6" w:space="5" w:color="000000"/>
        </w:pBd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55A3F">
        <w:rPr>
          <w:rFonts w:ascii="Times New Roman" w:eastAsia="Times New Roman" w:hAnsi="Times New Roman" w:cs="Times New Roman"/>
          <w:color w:val="000000"/>
        </w:rPr>
        <w:t xml:space="preserve">Goal 1: </w:t>
      </w:r>
      <w:r>
        <w:rPr>
          <w:rFonts w:ascii="Times New Roman" w:eastAsia="Times New Roman" w:hAnsi="Times New Roman" w:cs="Times New Roman"/>
          <w:color w:val="000000"/>
        </w:rPr>
        <w:t>Communication.</w:t>
      </w:r>
      <w:r w:rsidRPr="00C55A3F">
        <w:rPr>
          <w:rFonts w:ascii="Times New Roman" w:eastAsia="Times New Roman" w:hAnsi="Times New Roman" w:cs="Times New Roman"/>
          <w:color w:val="000000"/>
        </w:rPr>
        <w:t xml:space="preserve"> The ability to convey and receive messages based on the three modes of communication; interpersonal, or two-way interaction with someone else; interpretive, the ability to understand and interpret a one-way aural or written text; and presentational, the ability to present information in either a written or oral format. These modes reflect how people communicate in real life. The examples included in the World Language Skills map reflect these modes of communication.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B01E7B" w:rsidRDefault="00B01E7B" w:rsidP="00B01E7B">
      <w:pPr>
        <w:pBdr>
          <w:bottom w:val="single" w:sz="6" w:space="5" w:color="000000"/>
        </w:pBd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55A3F">
        <w:rPr>
          <w:rFonts w:ascii="Times New Roman" w:eastAsia="Times New Roman" w:hAnsi="Times New Roman" w:cs="Times New Roman"/>
          <w:color w:val="000000"/>
        </w:rPr>
        <w:t>OUTCOME 1: Students are able to communicate about familiar topics using sentences and strings of sentences. (Short paragraphs)</w:t>
      </w:r>
    </w:p>
    <w:p w:rsidR="00B01E7B" w:rsidRDefault="00B01E7B" w:rsidP="00B01E7B">
      <w:pPr>
        <w:pBdr>
          <w:bottom w:val="single" w:sz="6" w:space="5" w:color="000000"/>
        </w:pBdr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27031D" w:rsidRPr="0027031D" w:rsidRDefault="00B01E7B" w:rsidP="0027031D">
      <w:pPr>
        <w:pBdr>
          <w:bottom w:val="single" w:sz="6" w:space="5" w:color="000000"/>
        </w:pBd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</w:rPr>
      </w:pPr>
      <w:r w:rsidRPr="00C55A3F">
        <w:rPr>
          <w:rFonts w:ascii="Times New Roman" w:eastAsia="Times New Roman" w:hAnsi="Times New Roman" w:cs="Times New Roman"/>
          <w:color w:val="000000"/>
        </w:rPr>
        <w:t>Goal 2: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C55A3F">
        <w:rPr>
          <w:rFonts w:ascii="Times New Roman" w:eastAsia="Times New Roman" w:hAnsi="Times New Roman" w:cs="Times New Roman"/>
          <w:color w:val="000000"/>
        </w:rPr>
        <w:t>Cultur</w:t>
      </w:r>
      <w:r>
        <w:rPr>
          <w:rFonts w:ascii="Times New Roman" w:eastAsia="Times New Roman" w:hAnsi="Times New Roman" w:cs="Times New Roman"/>
          <w:color w:val="000000"/>
        </w:rPr>
        <w:t>al diversity.</w:t>
      </w:r>
      <w:r w:rsidRPr="00C55A3F">
        <w:rPr>
          <w:rFonts w:ascii="Times New Roman" w:eastAsia="Times New Roman" w:hAnsi="Times New Roman" w:cs="Times New Roman"/>
          <w:color w:val="000000"/>
        </w:rPr>
        <w:t xml:space="preserve"> Students learn to understand the culture of the people who speak the target language through learning about the products and practic</w:t>
      </w:r>
      <w:r>
        <w:rPr>
          <w:rFonts w:ascii="Times New Roman" w:eastAsia="Times New Roman" w:hAnsi="Times New Roman" w:cs="Times New Roman"/>
          <w:color w:val="000000"/>
        </w:rPr>
        <w:t>es of the culture and how those r</w:t>
      </w:r>
      <w:r w:rsidRPr="00C55A3F">
        <w:rPr>
          <w:rFonts w:ascii="Times New Roman" w:eastAsia="Times New Roman" w:hAnsi="Times New Roman" w:cs="Times New Roman"/>
          <w:color w:val="000000"/>
        </w:rPr>
        <w:t>elate to the perspectives of the people of that culture.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B01E7B" w:rsidRPr="00C55A3F" w:rsidRDefault="0027031D" w:rsidP="0027031D">
      <w:pPr>
        <w:pBdr>
          <w:bottom w:val="single" w:sz="6" w:space="5" w:color="000000"/>
        </w:pBdr>
        <w:shd w:val="clear" w:color="auto" w:fill="FFFFFF"/>
        <w:spacing w:line="300" w:lineRule="atLeast"/>
        <w:textAlignment w:val="baseline"/>
        <w:rPr>
          <w:rFonts w:ascii="Times New Roman" w:hAnsi="Times New Roman" w:cs="Times New Roman"/>
        </w:rPr>
      </w:pPr>
      <w:r w:rsidRPr="0027031D">
        <w:rPr>
          <w:rFonts w:ascii="Times New Roman" w:hAnsi="Times New Roman" w:cs="Times New Roman"/>
        </w:rPr>
        <w:t>Outcome 2: Use the language to investigate, explain, and reflect on the relationship between the practices and products of French-speaking cultures from around the world and their diverse perspectives.</w:t>
      </w:r>
      <w:bookmarkStart w:id="0" w:name="_GoBack"/>
      <w:bookmarkEnd w:id="0"/>
    </w:p>
    <w:sectPr w:rsidR="00B01E7B" w:rsidRPr="00C55A3F" w:rsidSect="0083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820"/>
    <w:multiLevelType w:val="multilevel"/>
    <w:tmpl w:val="17A8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C45EA1"/>
    <w:multiLevelType w:val="multilevel"/>
    <w:tmpl w:val="20F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46"/>
    <w:rsid w:val="0027031D"/>
    <w:rsid w:val="008356DA"/>
    <w:rsid w:val="00862146"/>
    <w:rsid w:val="008C7182"/>
    <w:rsid w:val="00B01E7B"/>
    <w:rsid w:val="00C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ADA1"/>
  <w15:chartTrackingRefBased/>
  <w15:docId w15:val="{0B7B00D7-C3CE-5540-B221-ECB0FA6C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621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21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2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6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56539">
                          <w:marLeft w:val="-2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65743">
                                  <w:marLeft w:val="0"/>
                                  <w:marRight w:val="0"/>
                                  <w:marTop w:val="189"/>
                                  <w:marBottom w:val="189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36452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4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135387">
                                  <w:marLeft w:val="0"/>
                                  <w:marRight w:val="0"/>
                                  <w:marTop w:val="189"/>
                                  <w:marBottom w:val="189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9429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4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9093">
                  <w:marLeft w:val="-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01174">
                          <w:marLeft w:val="-2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890361">
                                  <w:marLeft w:val="0"/>
                                  <w:marRight w:val="0"/>
                                  <w:marTop w:val="189"/>
                                  <w:marBottom w:val="189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10810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8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586678">
                                  <w:marLeft w:val="0"/>
                                  <w:marRight w:val="0"/>
                                  <w:marTop w:val="189"/>
                                  <w:marBottom w:val="189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098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48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5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794">
                  <w:marLeft w:val="-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Vassiliki Flenga</dc:creator>
  <cp:keywords/>
  <dc:description/>
  <cp:lastModifiedBy>unger</cp:lastModifiedBy>
  <cp:revision>5</cp:revision>
  <dcterms:created xsi:type="dcterms:W3CDTF">2019-07-01T18:35:00Z</dcterms:created>
  <dcterms:modified xsi:type="dcterms:W3CDTF">2020-01-23T17:51:00Z</dcterms:modified>
</cp:coreProperties>
</file>